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1396" w:rsidRPr="00CA4B5A" w:rsidRDefault="001C1396" w:rsidP="005C0AED">
      <w:pPr>
        <w:ind w:left="567" w:right="567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A4B5A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Epidemiologia </w:t>
      </w:r>
      <w:proofErr w:type="gramStart"/>
      <w:r w:rsidRPr="00CA4B5A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delle precancerosi</w:t>
      </w:r>
      <w:proofErr w:type="gramEnd"/>
      <w:r w:rsidRPr="00CA4B5A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anali e identificazione dei fattori di rischio evolutivi ne</w:t>
      </w:r>
      <w:r w:rsidR="005C0AED" w:rsidRPr="00CA4B5A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lle</w:t>
      </w:r>
      <w:r w:rsidRPr="00CA4B5A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pazienti ad aumentato rischio.</w:t>
      </w:r>
    </w:p>
    <w:p w:rsidR="001C1396" w:rsidRPr="00CA4B5A" w:rsidRDefault="001C1396" w:rsidP="005C0AED">
      <w:pPr>
        <w:ind w:left="567" w:right="567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:rsidR="001C1396" w:rsidRPr="00CA4B5A" w:rsidRDefault="001C1396" w:rsidP="005C0AED">
      <w:pPr>
        <w:ind w:left="567" w:right="567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A4B5A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Durata: 12 mesi</w:t>
      </w:r>
    </w:p>
    <w:p w:rsidR="001C1396" w:rsidRPr="00CA4B5A" w:rsidRDefault="001C1396" w:rsidP="005C0AED">
      <w:pPr>
        <w:ind w:left="567" w:right="567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:rsidR="001C1396" w:rsidRPr="00CA4B5A" w:rsidRDefault="001C1396" w:rsidP="005C0AED">
      <w:pPr>
        <w:ind w:left="567" w:right="567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:rsidR="005C0AED" w:rsidRPr="00CA4B5A" w:rsidRDefault="001C1396" w:rsidP="005C0AED">
      <w:pPr>
        <w:spacing w:after="120"/>
        <w:ind w:left="567" w:righ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Il tumore del canale anale è responsabile di circa il 2% di tutt</w:t>
      </w:r>
      <w:r w:rsidR="00E04980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e le neoplasie maligne, l'età media alla diagnosi è di 60-65 anni</w:t>
      </w:r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e la sua incidenza aumenta con l’età ed è predominante nel sesso femminile</w:t>
      </w:r>
      <w:r w:rsidR="00E04980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(</w:t>
      </w:r>
      <w:r w:rsidR="005C0AED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1</w:t>
      </w:r>
      <w:r w:rsidR="00E04980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)</w:t>
      </w:r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. L’</w:t>
      </w:r>
      <w:proofErr w:type="spellStart"/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istotipo</w:t>
      </w:r>
      <w:proofErr w:type="spellEnd"/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più frequente è rappresentato per oltre l’80% dei casi dal carcinoma </w:t>
      </w:r>
      <w:proofErr w:type="spellStart"/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squamocellulare</w:t>
      </w:r>
      <w:proofErr w:type="spellEnd"/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(SCC), con un’incidenza stimata in Italia di circa 300 nuovi casi/anno in costante aumento, ed una sopravvivenza media a 5 anni del 66%. </w:t>
      </w:r>
    </w:p>
    <w:p w:rsidR="0032450F" w:rsidRPr="00CA4B5A" w:rsidRDefault="001C1396" w:rsidP="005C0AED">
      <w:pPr>
        <w:spacing w:after="120"/>
        <w:ind w:left="567" w:righ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Il principale agente causale del carcinoma anale è il </w:t>
      </w:r>
      <w:proofErr w:type="spellStart"/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Papillomavirus</w:t>
      </w:r>
      <w:proofErr w:type="spellEnd"/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umano (HPV), che è associato all’88% delle forme invasive</w:t>
      </w:r>
      <w:r w:rsidR="006E3180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(</w:t>
      </w:r>
      <w:r w:rsidR="005C0AED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2</w:t>
      </w:r>
      <w:r w:rsidR="006E3180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)</w:t>
      </w:r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</w:t>
      </w:r>
      <w:r w:rsidR="0032450F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Gli HPV sono virus a DNA piccoli, incapsulati e</w:t>
      </w:r>
      <w:r w:rsidR="008D5A79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32450F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a doppia elica che infettano gli epiteli basali mucosi e cutanei. L'HPV è virtualmente endemico in molti paesi, con un rischio </w:t>
      </w:r>
      <w:proofErr w:type="spellStart"/>
      <w:r w:rsidR="0032450F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lifetime</w:t>
      </w:r>
      <w:proofErr w:type="spellEnd"/>
      <w:r w:rsidR="0032450F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di contrarre l’infezione superiore all'80%. Degli oltre 200 tipi conosciuti di HPV, circa 15 sottotipi sono considerati "ad alto rischio", ovvero </w:t>
      </w:r>
      <w:r w:rsidR="005C0AED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a </w:t>
      </w:r>
      <w:r w:rsidR="005451A7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potenzial</w:t>
      </w:r>
      <w:r w:rsidR="005C0AED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e</w:t>
      </w:r>
      <w:r w:rsidR="005451A7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32450F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oncogen</w:t>
      </w:r>
      <w:r w:rsidR="005C0AED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o</w:t>
      </w:r>
      <w:r w:rsidR="005451A7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  <w:r w:rsidR="0032450F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5451A7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In </w:t>
      </w:r>
      <w:r w:rsidR="005C0AED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particolare, tra</w:t>
      </w:r>
      <w:r w:rsidR="005451A7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il </w:t>
      </w:r>
      <w:r w:rsidR="0032450F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l 90% </w:t>
      </w:r>
      <w:r w:rsidR="005451A7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e i</w:t>
      </w:r>
      <w:r w:rsidR="0032450F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l 95% dei casi di carcinoma a cellule squamose anale sono associati ai genotipi ad alto rischio HPV16 e HPV18 (</w:t>
      </w:r>
      <w:r w:rsidR="005C0AED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3</w:t>
      </w:r>
      <w:r w:rsidR="0032450F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)</w:t>
      </w:r>
      <w:r w:rsidR="005C0AED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:rsidR="005C0AED" w:rsidRPr="00CA4B5A" w:rsidRDefault="001C1396" w:rsidP="005C0AED">
      <w:pPr>
        <w:spacing w:after="120"/>
        <w:ind w:left="567" w:righ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Gli uomini HIV positivi MSM (</w:t>
      </w:r>
      <w:r w:rsidRPr="00CA4B5A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 xml:space="preserve">men </w:t>
      </w:r>
      <w:proofErr w:type="spellStart"/>
      <w:r w:rsidRPr="00CA4B5A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who</w:t>
      </w:r>
      <w:proofErr w:type="spellEnd"/>
      <w:r w:rsidRPr="00CA4B5A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A4B5A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have</w:t>
      </w:r>
      <w:proofErr w:type="spellEnd"/>
      <w:r w:rsidRPr="00CA4B5A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 xml:space="preserve"> sex with men</w:t>
      </w:r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) costituiscono la categoria più a rischio sia di HPV (90%) che di neoplasia anale (75-135/100000</w:t>
      </w:r>
      <w:r w:rsidR="00C56B7C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(</w:t>
      </w:r>
      <w:r w:rsidR="005C0AED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4</w:t>
      </w:r>
      <w:r w:rsidR="00C56B7C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)</w:t>
      </w:r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. Altri fattori di rischio sono costituiti da storia di pregresse neoplasie HPV-relate vulvari o cervicali, pregresse o attuali neoplasie intraepiteliali ad alto grado cervicali o vulvari, terapie immunosoppressive</w:t>
      </w:r>
      <w:r w:rsidR="00C56B7C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, condilomi acuminati, rapporti anali ricettivi</w:t>
      </w:r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ed il fumo di sigaretta.</w:t>
      </w:r>
    </w:p>
    <w:p w:rsidR="006274A2" w:rsidRPr="00CA4B5A" w:rsidRDefault="006274A2" w:rsidP="005C0AED">
      <w:pPr>
        <w:spacing w:after="120"/>
        <w:ind w:left="567" w:righ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Le lesioni </w:t>
      </w:r>
      <w:proofErr w:type="spellStart"/>
      <w:r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pre</w:t>
      </w:r>
      <w:proofErr w:type="spellEnd"/>
      <w:r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-cancerose del carcinoma </w:t>
      </w:r>
      <w:proofErr w:type="spellStart"/>
      <w:r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squamocellulare</w:t>
      </w:r>
      <w:proofErr w:type="spellEnd"/>
      <w:r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vengono denominate secondo diverse classificazioni. L’Organizzazione Mondiale della Sanità (</w:t>
      </w:r>
      <w:r w:rsidRPr="00CA4B5A"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  <w:t xml:space="preserve">World </w:t>
      </w:r>
      <w:proofErr w:type="spellStart"/>
      <w:r w:rsidRPr="00CA4B5A"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  <w:t>Health</w:t>
      </w:r>
      <w:proofErr w:type="spellEnd"/>
      <w:r w:rsidRPr="00CA4B5A"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  <w:t xml:space="preserve"> Organization</w:t>
      </w:r>
      <w:r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, WHO) suggerisce di adottare la classificazione LAST (</w:t>
      </w:r>
      <w:r w:rsidRPr="00CA4B5A"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  <w:t xml:space="preserve">Lower </w:t>
      </w:r>
      <w:proofErr w:type="spellStart"/>
      <w:r w:rsidRPr="00CA4B5A"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  <w:t>Anogenital</w:t>
      </w:r>
      <w:proofErr w:type="spellEnd"/>
      <w:r w:rsidRPr="00CA4B5A"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A4B5A"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  <w:t>Squamous</w:t>
      </w:r>
      <w:proofErr w:type="spellEnd"/>
      <w:r w:rsidRPr="00CA4B5A"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A4B5A"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  <w:t>Terminology</w:t>
      </w:r>
      <w:proofErr w:type="spellEnd"/>
      <w:r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) che stratifica le lesioni intraepiteliali squamose (</w:t>
      </w:r>
      <w:proofErr w:type="spellStart"/>
      <w:r w:rsidRPr="00CA4B5A"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  <w:t>squamous</w:t>
      </w:r>
      <w:proofErr w:type="spellEnd"/>
      <w:r w:rsidRPr="00CA4B5A"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A4B5A"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  <w:t>intraepithelial</w:t>
      </w:r>
      <w:proofErr w:type="spellEnd"/>
      <w:r w:rsidRPr="00CA4B5A"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A4B5A"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  <w:t>lesion</w:t>
      </w:r>
      <w:proofErr w:type="spellEnd"/>
      <w:r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, SIL) in basso grado (</w:t>
      </w:r>
      <w:proofErr w:type="spellStart"/>
      <w:r w:rsidRPr="00CA4B5A"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  <w:t>Low</w:t>
      </w:r>
      <w:proofErr w:type="spellEnd"/>
      <w:r w:rsidRPr="00CA4B5A"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  <w:t>-grade SIL</w:t>
      </w:r>
      <w:r w:rsidR="005C0AED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), e</w:t>
      </w:r>
      <w:r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alto grado (</w:t>
      </w:r>
      <w:r w:rsidRPr="00CA4B5A"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  <w:t>High-grade SIL</w:t>
      </w:r>
      <w:r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).</w:t>
      </w:r>
    </w:p>
    <w:p w:rsidR="00890BA3" w:rsidRPr="00CA4B5A" w:rsidRDefault="00890BA3" w:rsidP="005C0AED">
      <w:pPr>
        <w:ind w:left="567" w:righ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890BA3">
        <w:rPr>
          <w:rFonts w:asciiTheme="minorHAnsi" w:hAnsiTheme="minorHAnsi" w:cstheme="minorHAnsi"/>
          <w:color w:val="000000" w:themeColor="text1"/>
          <w:sz w:val="28"/>
          <w:szCs w:val="28"/>
        </w:rPr>
        <w:t>Lo screening si basa sulla rilevazione e sul trattamento delle lesioni precancerose</w:t>
      </w:r>
      <w:r w:rsidR="006274A2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. I</w:t>
      </w:r>
      <w:r w:rsidRPr="00890BA3">
        <w:rPr>
          <w:rFonts w:asciiTheme="minorHAnsi" w:hAnsiTheme="minorHAnsi" w:cstheme="minorHAnsi"/>
          <w:color w:val="000000" w:themeColor="text1"/>
          <w:sz w:val="28"/>
          <w:szCs w:val="28"/>
        </w:rPr>
        <w:t>l trattamento, basato su una combinazione di chemioterapia e radioterapia simultanee, consente un tasso di risposta completo dell'80%</w:t>
      </w:r>
      <w:r w:rsidR="005C0AED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(</w:t>
      </w:r>
      <w:r w:rsidR="005C0AED"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5</w:t>
      </w:r>
      <w:r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)</w:t>
      </w:r>
      <w:r w:rsidR="005C0AED"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.</w:t>
      </w:r>
    </w:p>
    <w:p w:rsidR="00890BA3" w:rsidRPr="00890BA3" w:rsidRDefault="00890BA3" w:rsidP="005C0AED">
      <w:pPr>
        <w:spacing w:after="120"/>
        <w:ind w:left="567" w:righ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890BA3" w:rsidRPr="00CA4B5A" w:rsidRDefault="00890BA3" w:rsidP="005C0AED">
      <w:pPr>
        <w:spacing w:after="120"/>
        <w:ind w:left="567" w:righ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303201" w:rsidRPr="00CA4B5A" w:rsidRDefault="00303201" w:rsidP="005C0AED">
      <w:pPr>
        <w:pStyle w:val="Grigliamedia1-Colore21"/>
        <w:spacing w:after="120"/>
        <w:ind w:left="567" w:right="567"/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lastRenderedPageBreak/>
        <w:t xml:space="preserve">Attualmente esistono linee guida per lo screening per gli individui ad alto rischio, come ad esempio, la popolazione sieropositiva, gli MSM e destinatari di trapianto immunosoppressi, ma non esistono linee guida per questi pazienti al di fuori di questa designazione. Per lo screening, i pazienti devono sottoporsi a </w:t>
      </w:r>
      <w:r w:rsidR="00D464E9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un esame c</w:t>
      </w:r>
      <w:r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itologi</w:t>
      </w:r>
      <w:r w:rsidR="00D464E9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co</w:t>
      </w:r>
      <w:r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anale </w:t>
      </w:r>
      <w:r w:rsidR="00D5188C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annuale mediante </w:t>
      </w:r>
      <w:proofErr w:type="spellStart"/>
      <w:r w:rsidR="00D464E9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brushing</w:t>
      </w:r>
      <w:proofErr w:type="spellEnd"/>
      <w:r w:rsidR="00D464E9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anale </w:t>
      </w:r>
      <w:r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(precedentemente noto come test di </w:t>
      </w:r>
      <w:proofErr w:type="spellStart"/>
      <w:r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Papanicolaou</w:t>
      </w:r>
      <w:proofErr w:type="spellEnd"/>
      <w:r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anale)</w:t>
      </w:r>
      <w:r w:rsidR="00D5188C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, una indagine molecolare mediante l’HR-HPV (high </w:t>
      </w:r>
      <w:proofErr w:type="spellStart"/>
      <w:r w:rsidR="00D5188C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risk</w:t>
      </w:r>
      <w:proofErr w:type="spellEnd"/>
      <w:r w:rsidR="00D5188C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-HPV) DNA test </w:t>
      </w:r>
      <w:r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e un'</w:t>
      </w:r>
      <w:proofErr w:type="spellStart"/>
      <w:r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anoscopia</w:t>
      </w:r>
      <w:proofErr w:type="spellEnd"/>
      <w:r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ad alta risoluzione </w:t>
      </w:r>
      <w:r w:rsidR="00D5188C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(HRA) </w:t>
      </w:r>
      <w:r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con </w:t>
      </w:r>
      <w:r w:rsidR="00D5188C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campionamento </w:t>
      </w:r>
      <w:r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biop</w:t>
      </w:r>
      <w:r w:rsidR="00D5188C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tico</w:t>
      </w:r>
      <w:r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e</w:t>
      </w:r>
      <w:r w:rsidR="00D464E9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d eventuali </w:t>
      </w:r>
      <w:r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ablazion</w:t>
      </w:r>
      <w:r w:rsidR="00D5188C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i</w:t>
      </w:r>
      <w:r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mirate (</w:t>
      </w:r>
      <w:r w:rsidR="00D464E9" w:rsidRPr="00CA4B5A">
        <w:rPr>
          <w:rStyle w:val="nlmstring-name"/>
          <w:rFonts w:asciiTheme="minorHAnsi" w:hAnsiTheme="minorHAnsi" w:cstheme="minorHAnsi"/>
          <w:color w:val="000000" w:themeColor="text1"/>
          <w:sz w:val="28"/>
          <w:szCs w:val="28"/>
        </w:rPr>
        <w:t>6</w:t>
      </w:r>
      <w:r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)(</w:t>
      </w:r>
      <w:r w:rsidR="00D464E9" w:rsidRPr="00CA4B5A">
        <w:rPr>
          <w:rStyle w:val="nlmstring-name"/>
          <w:rFonts w:asciiTheme="minorHAnsi" w:hAnsiTheme="minorHAnsi" w:cstheme="minorHAnsi"/>
          <w:color w:val="000000" w:themeColor="text1"/>
          <w:sz w:val="28"/>
          <w:szCs w:val="28"/>
        </w:rPr>
        <w:t>7</w:t>
      </w:r>
      <w:r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)</w:t>
      </w:r>
      <w:r w:rsidR="00D5188C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(</w:t>
      </w:r>
      <w:r w:rsidR="00D464E9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8</w:t>
      </w:r>
      <w:r w:rsidR="00D5188C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)</w:t>
      </w:r>
      <w:r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. Nelle popolazioni ad alto rischio, lo screening e / o la sorveglianza dovrebbero continuare ogni anno anche in assenza di malattia e attualmente non ci sono linee guida esistenti per la popolazione generale</w:t>
      </w:r>
      <w:r w:rsidR="00D464E9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</w:t>
      </w:r>
      <w:r w:rsidR="00D5188C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(</w:t>
      </w:r>
      <w:r w:rsidR="00D464E9" w:rsidRPr="00CA4B5A">
        <w:rPr>
          <w:rStyle w:val="nlmstring-name"/>
          <w:rFonts w:asciiTheme="minorHAnsi" w:hAnsiTheme="minorHAnsi" w:cstheme="minorHAnsi"/>
          <w:color w:val="000000" w:themeColor="text1"/>
          <w:sz w:val="28"/>
          <w:szCs w:val="28"/>
        </w:rPr>
        <w:t>9</w:t>
      </w:r>
      <w:r w:rsidR="00D5188C" w:rsidRPr="00CA4B5A">
        <w:rPr>
          <w:rStyle w:val="nlmgiven-names"/>
          <w:rFonts w:asciiTheme="minorHAnsi" w:hAnsiTheme="minorHAnsi" w:cstheme="minorHAnsi"/>
          <w:color w:val="000000" w:themeColor="text1"/>
          <w:sz w:val="28"/>
          <w:szCs w:val="28"/>
        </w:rPr>
        <w:t>).</w:t>
      </w:r>
    </w:p>
    <w:p w:rsidR="005C0AED" w:rsidRPr="00CA4B5A" w:rsidRDefault="001C1396" w:rsidP="005C0AED">
      <w:pPr>
        <w:pStyle w:val="Grigliamedia1-Colore21"/>
        <w:spacing w:after="120"/>
        <w:ind w:left="567" w:right="567"/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L’esame citologico ha una accuratezza diagnosticata subottimale, variabile in funzione della popolazione studiata (sensibilità 80% e specificità 40% negli MSM; sensibilità &lt;60% e specificità 80% nelle donne).  </w:t>
      </w:r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D’altra parte, anche il test per HR-HPV DNA da solo come screening per il cancro anale, sembra avere beneficio limitato. Infatti, la presenza di HPV ad alto rischio oncogeno (HR-HPV) ha una sensibilità molto alta, ma bassa specificità per AIN di alto grado</w:t>
      </w:r>
      <w:r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, a causa della elevata prevalenza di HR HPV in soggetti con fattori di rischio, anche in assenza di lesioni. Pertanto, il miglior algoritmo di screening prevede l’esecuzione in contemporanea (</w:t>
      </w:r>
      <w:r w:rsidRPr="00CA4B5A"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  <w:t>co-</w:t>
      </w:r>
      <w:proofErr w:type="spellStart"/>
      <w:r w:rsidRPr="00CA4B5A"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  <w:t>testing</w:t>
      </w:r>
      <w:proofErr w:type="spellEnd"/>
      <w:r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) della citologia anale e del test per la ricerca degli HR-HPV con la tipizzazione dei genotipi più frequentemente associati al carcinoma anale (primo tra tutti HPV16)</w:t>
      </w:r>
      <w:r w:rsidR="0084034D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(</w:t>
      </w:r>
      <w:r w:rsidR="00D464E9"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10</w:t>
      </w:r>
      <w:r w:rsidR="0084034D"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)</w:t>
      </w:r>
      <w:r w:rsidR="00D464E9"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.</w:t>
      </w:r>
      <w:r w:rsidR="0084034D"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B4FCC" w:rsidRPr="00CB4FCC" w:rsidRDefault="00CB4FCC" w:rsidP="005C0AED">
      <w:pPr>
        <w:pStyle w:val="Grigliamedia1-Colore21"/>
        <w:spacing w:after="120"/>
        <w:ind w:left="567" w:right="567"/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CB4FCC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Circa il 20% -33% dei pazienti con SCC anale è asintomatico o presenta sintomi aspecifici al momento della diagnosi</w:t>
      </w:r>
      <w:r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</w:t>
      </w:r>
      <w:r w:rsidR="00D464E9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(11</w:t>
      </w:r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). Il sintomo più comune è il sanguinamento (45%), seguito</w:t>
      </w:r>
      <w:r w:rsidR="005C0AED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CB4FCC">
        <w:rPr>
          <w:rFonts w:asciiTheme="minorHAnsi" w:hAnsiTheme="minorHAnsi" w:cstheme="minorHAnsi"/>
          <w:color w:val="000000" w:themeColor="text1"/>
          <w:sz w:val="28"/>
          <w:szCs w:val="28"/>
        </w:rPr>
        <w:t>da dolore anale e palpazione o fastidio da una massa anale</w:t>
      </w:r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(</w:t>
      </w:r>
      <w:r w:rsidR="00D464E9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12</w:t>
      </w:r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). Altri sintomi possono includere</w:t>
      </w:r>
      <w:r w:rsidR="005C0AED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</w:t>
      </w:r>
      <w:r w:rsidRPr="00CB4FCC">
        <w:rPr>
          <w:rFonts w:asciiTheme="minorHAnsi" w:hAnsiTheme="minorHAnsi" w:cstheme="minorHAnsi"/>
          <w:color w:val="000000" w:themeColor="text1"/>
          <w:sz w:val="28"/>
          <w:szCs w:val="28"/>
        </w:rPr>
        <w:t>prurito anale, costipazione o diarrea, incontinenza</w:t>
      </w:r>
      <w:r w:rsidR="00891849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e </w:t>
      </w:r>
      <w:r w:rsidRPr="00CB4FCC">
        <w:rPr>
          <w:rFonts w:asciiTheme="minorHAnsi" w:hAnsiTheme="minorHAnsi" w:cstheme="minorHAnsi"/>
          <w:color w:val="000000" w:themeColor="text1"/>
          <w:sz w:val="28"/>
          <w:szCs w:val="28"/>
        </w:rPr>
        <w:t>ragadi. La natura aspecifica della sua presentazione</w:t>
      </w:r>
      <w:r w:rsidR="00F7208D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,</w:t>
      </w:r>
      <w:r w:rsidRPr="00CB4FC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F7208D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che</w:t>
      </w:r>
      <w:r w:rsidRPr="00CB4FC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spesso porta a ritardi nella diagnosi</w:t>
      </w:r>
      <w:r w:rsidR="00891849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rende conto della </w:t>
      </w:r>
      <w:r w:rsidR="00F7208D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necessità</w:t>
      </w:r>
      <w:r w:rsidR="00891849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di individuare valid</w:t>
      </w:r>
      <w:r w:rsidR="00F7208D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i strumenti di screening per una diagnosi precoce e un trattamento tempestivo.</w:t>
      </w:r>
    </w:p>
    <w:p w:rsidR="00CB4FCC" w:rsidRPr="00CB4FCC" w:rsidRDefault="00CB4FCC" w:rsidP="005C0AED">
      <w:pPr>
        <w:pStyle w:val="Grigliamedia1-Colore21"/>
        <w:spacing w:after="120"/>
        <w:ind w:left="567" w:righ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CB4FCC" w:rsidRPr="00CB4FCC" w:rsidRDefault="00CB4FCC" w:rsidP="005C0AED">
      <w:pPr>
        <w:pStyle w:val="Grigliamedia1-Colore21"/>
        <w:spacing w:after="120"/>
        <w:ind w:left="567" w:right="567"/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1C1396" w:rsidRDefault="001C1396" w:rsidP="005C0AED">
      <w:pPr>
        <w:ind w:left="567" w:right="567"/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CA4B5A" w:rsidRDefault="00CA4B5A" w:rsidP="005C0AED">
      <w:pPr>
        <w:ind w:left="567" w:right="567"/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CA4B5A" w:rsidRDefault="00CA4B5A" w:rsidP="005C0AED">
      <w:pPr>
        <w:ind w:left="567" w:right="567"/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CA4B5A" w:rsidRDefault="00CA4B5A" w:rsidP="005C0AED">
      <w:pPr>
        <w:ind w:left="567" w:right="567"/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CA4B5A" w:rsidRDefault="00CA4B5A" w:rsidP="005C0AED">
      <w:pPr>
        <w:ind w:left="567" w:right="567"/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CA4B5A" w:rsidRPr="00CA4B5A" w:rsidRDefault="00CA4B5A" w:rsidP="005C0AED">
      <w:pPr>
        <w:ind w:left="567" w:right="567"/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E04980" w:rsidRPr="00CA4B5A" w:rsidRDefault="00E04980" w:rsidP="005C0AED">
      <w:pPr>
        <w:ind w:left="567" w:right="567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A4B5A">
        <w:rPr>
          <w:rFonts w:asciiTheme="minorHAnsi" w:hAnsiTheme="minorHAnsi" w:cstheme="minorHAnsi"/>
          <w:b/>
          <w:color w:val="000000" w:themeColor="text1"/>
          <w:sz w:val="28"/>
          <w:szCs w:val="28"/>
        </w:rPr>
        <w:lastRenderedPageBreak/>
        <w:t>Bibliografia</w:t>
      </w:r>
    </w:p>
    <w:p w:rsidR="00E04980" w:rsidRPr="00CA4B5A" w:rsidRDefault="00E04980" w:rsidP="005C0AED">
      <w:pPr>
        <w:ind w:left="567" w:right="567"/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E04980" w:rsidRPr="00CA4B5A" w:rsidRDefault="00E04980" w:rsidP="005C0AED">
      <w:pPr>
        <w:pStyle w:val="Paragrafoelenco"/>
        <w:numPr>
          <w:ilvl w:val="0"/>
          <w:numId w:val="2"/>
        </w:numPr>
        <w:ind w:left="567" w:righ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A4B5A"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  <w:t xml:space="preserve">Surveillance, Epidemiology, and End Results (SEER) Program (www.seer.cancer.gov) Research Data (1973-2015), National Cancer Institute, DCCPS, Surveillance Research Program, released April 2018, based on the November 2017 submission. </w:t>
      </w:r>
      <w:proofErr w:type="spellStart"/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Anal</w:t>
      </w:r>
      <w:proofErr w:type="spellEnd"/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Cancer</w:t>
      </w:r>
      <w:proofErr w:type="spellEnd"/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, (1973-2009).</w:t>
      </w:r>
    </w:p>
    <w:p w:rsidR="0032450F" w:rsidRPr="00CA4B5A" w:rsidRDefault="0032450F" w:rsidP="005C0AED">
      <w:pPr>
        <w:pStyle w:val="Paragrafoelenco"/>
        <w:ind w:left="567" w:right="567"/>
        <w:jc w:val="both"/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</w:pPr>
    </w:p>
    <w:p w:rsidR="006E3180" w:rsidRPr="00CA4B5A" w:rsidRDefault="006E3180" w:rsidP="005C0AED">
      <w:pPr>
        <w:pStyle w:val="Paragrafoelenco"/>
        <w:numPr>
          <w:ilvl w:val="0"/>
          <w:numId w:val="2"/>
        </w:numPr>
        <w:ind w:left="567" w:righ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A4B5A"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  <w:t xml:space="preserve">Yao J, Zhang X, Zhou H, et al. Human papillomavirus related anal squamous cell carcinoma survival: a systematic review and meta-analysis. </w:t>
      </w:r>
      <w:proofErr w:type="spellStart"/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Transl</w:t>
      </w:r>
      <w:proofErr w:type="spellEnd"/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Cancer</w:t>
      </w:r>
      <w:proofErr w:type="spellEnd"/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Res. </w:t>
      </w:r>
      <w:r w:rsidR="005C0AED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2017; 6:463</w:t>
      </w:r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–473</w:t>
      </w:r>
      <w:r w:rsidR="00D464E9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:rsidR="005C0AED" w:rsidRPr="00CA4B5A" w:rsidRDefault="005C0AED" w:rsidP="005C0AED">
      <w:pPr>
        <w:pStyle w:val="Paragrafoelenco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5C0AED" w:rsidRPr="00CA4B5A" w:rsidRDefault="005C0AED" w:rsidP="005C0AED">
      <w:pPr>
        <w:pStyle w:val="Paragrafoelenco"/>
        <w:numPr>
          <w:ilvl w:val="0"/>
          <w:numId w:val="2"/>
        </w:numPr>
        <w:ind w:left="567" w:right="567"/>
        <w:jc w:val="both"/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</w:pPr>
      <w:r w:rsidRPr="00CA4B5A">
        <w:rPr>
          <w:rStyle w:val="nlmstring-name"/>
          <w:rFonts w:asciiTheme="minorHAnsi" w:hAnsiTheme="minorHAnsi" w:cstheme="minorHAnsi"/>
          <w:color w:val="000000" w:themeColor="text1"/>
          <w:sz w:val="28"/>
          <w:szCs w:val="28"/>
          <w:lang w:val="en-US"/>
        </w:rPr>
        <w:t>Nelson </w:t>
      </w:r>
      <w:r w:rsidRPr="00CA4B5A">
        <w:rPr>
          <w:rStyle w:val="nlmgiven-names"/>
          <w:rFonts w:asciiTheme="minorHAnsi" w:hAnsiTheme="minorHAnsi" w:cstheme="minorHAnsi"/>
          <w:color w:val="000000" w:themeColor="text1"/>
          <w:sz w:val="28"/>
          <w:szCs w:val="28"/>
          <w:lang w:val="en-US"/>
        </w:rPr>
        <w:t>VM</w:t>
      </w:r>
      <w:r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E4"/>
          <w:lang w:val="en-US"/>
        </w:rPr>
        <w:t>, </w:t>
      </w:r>
      <w:r w:rsidRPr="00CA4B5A">
        <w:rPr>
          <w:rStyle w:val="nlmstring-name"/>
          <w:rFonts w:asciiTheme="minorHAnsi" w:hAnsiTheme="minorHAnsi" w:cstheme="minorHAnsi"/>
          <w:color w:val="000000" w:themeColor="text1"/>
          <w:sz w:val="28"/>
          <w:szCs w:val="28"/>
          <w:lang w:val="en-US"/>
        </w:rPr>
        <w:t>Benson </w:t>
      </w:r>
      <w:r w:rsidRPr="00CA4B5A">
        <w:rPr>
          <w:rStyle w:val="nlmgiven-names"/>
          <w:rFonts w:asciiTheme="minorHAnsi" w:hAnsiTheme="minorHAnsi" w:cstheme="minorHAnsi"/>
          <w:color w:val="000000" w:themeColor="text1"/>
          <w:sz w:val="28"/>
          <w:szCs w:val="28"/>
          <w:lang w:val="en-US"/>
        </w:rPr>
        <w:t>AB</w:t>
      </w:r>
      <w:r w:rsidRPr="00CA4B5A">
        <w:rPr>
          <w:rStyle w:val="nlmstring-name"/>
          <w:rFonts w:asciiTheme="minorHAnsi" w:hAnsiTheme="minorHAnsi" w:cstheme="minorHAnsi"/>
          <w:color w:val="000000" w:themeColor="text1"/>
          <w:sz w:val="28"/>
          <w:szCs w:val="28"/>
          <w:lang w:val="en-US"/>
        </w:rPr>
        <w:t> 3rd</w:t>
      </w:r>
      <w:r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E4"/>
          <w:lang w:val="en-US"/>
        </w:rPr>
        <w:t>. </w:t>
      </w:r>
      <w:r w:rsidRPr="00CA4B5A">
        <w:rPr>
          <w:rStyle w:val="nlmarticle-title"/>
          <w:rFonts w:asciiTheme="minorHAnsi" w:hAnsiTheme="minorHAnsi" w:cstheme="minorHAnsi"/>
          <w:color w:val="000000" w:themeColor="text1"/>
          <w:sz w:val="28"/>
          <w:szCs w:val="28"/>
          <w:lang w:val="en-US"/>
        </w:rPr>
        <w:t>Epidemiology of anal canal cancer</w:t>
      </w:r>
      <w:r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E4"/>
          <w:lang w:val="en-US"/>
        </w:rPr>
        <w:t>. Surg Oncol Clin N Am. </w:t>
      </w:r>
      <w:r w:rsidRPr="00CA4B5A">
        <w:rPr>
          <w:rStyle w:val="nlmyear"/>
          <w:rFonts w:asciiTheme="minorHAnsi" w:hAnsiTheme="minorHAnsi" w:cstheme="minorHAnsi"/>
          <w:color w:val="000000" w:themeColor="text1"/>
          <w:sz w:val="28"/>
          <w:szCs w:val="28"/>
          <w:lang w:val="en-US"/>
        </w:rPr>
        <w:t>2017</w:t>
      </w:r>
      <w:r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E4"/>
          <w:lang w:val="en-US"/>
        </w:rPr>
        <w:t>; 26:9-</w:t>
      </w:r>
      <w:r w:rsidRPr="00CA4B5A">
        <w:rPr>
          <w:rStyle w:val="nlmlpage"/>
          <w:rFonts w:asciiTheme="minorHAnsi" w:hAnsiTheme="minorHAnsi" w:cstheme="minorHAnsi"/>
          <w:color w:val="000000" w:themeColor="text1"/>
          <w:sz w:val="28"/>
          <w:szCs w:val="28"/>
          <w:lang w:val="en-US"/>
        </w:rPr>
        <w:t>15</w:t>
      </w:r>
      <w:r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E4"/>
          <w:lang w:val="en-US"/>
        </w:rPr>
        <w:t>.</w:t>
      </w:r>
    </w:p>
    <w:p w:rsidR="005C0AED" w:rsidRPr="00CA4B5A" w:rsidRDefault="005C0AED" w:rsidP="005C0AED">
      <w:pPr>
        <w:pStyle w:val="Paragrafoelenco"/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</w:pPr>
    </w:p>
    <w:p w:rsidR="00C56B7C" w:rsidRPr="00CA4B5A" w:rsidRDefault="00C56B7C" w:rsidP="005C0AED">
      <w:pPr>
        <w:pStyle w:val="Paragrafoelenco"/>
        <w:numPr>
          <w:ilvl w:val="0"/>
          <w:numId w:val="2"/>
        </w:numPr>
        <w:ind w:left="567" w:right="567"/>
        <w:jc w:val="both"/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</w:pPr>
      <w:proofErr w:type="spellStart"/>
      <w:r w:rsidRPr="00CA4B5A"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  <w:t>Hleyhel</w:t>
      </w:r>
      <w:proofErr w:type="spellEnd"/>
      <w:r w:rsidRPr="00CA4B5A"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  <w:t xml:space="preserve"> M, Bouvier AM, </w:t>
      </w:r>
      <w:proofErr w:type="spellStart"/>
      <w:r w:rsidRPr="00CA4B5A"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  <w:t>Belot</w:t>
      </w:r>
      <w:proofErr w:type="spellEnd"/>
      <w:r w:rsidRPr="00CA4B5A"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  <w:t xml:space="preserve"> A, et al. Risk of non-AIDS-defining cancers among HIV-1-infected individuals in France between 1997 and 2009: results from a French cohort. </w:t>
      </w:r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AIDS. </w:t>
      </w:r>
      <w:r w:rsidR="005C0AED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2014; 28:2109</w:t>
      </w:r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–2118.</w:t>
      </w:r>
    </w:p>
    <w:p w:rsidR="005C0AED" w:rsidRPr="00CA4B5A" w:rsidRDefault="005C0AED" w:rsidP="005C0AED">
      <w:pPr>
        <w:ind w:right="567"/>
        <w:jc w:val="both"/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</w:pPr>
    </w:p>
    <w:p w:rsidR="00D464E9" w:rsidRPr="00CA4B5A" w:rsidRDefault="00890BA3" w:rsidP="005C0AED">
      <w:pPr>
        <w:pStyle w:val="Paragrafoelenco"/>
        <w:numPr>
          <w:ilvl w:val="0"/>
          <w:numId w:val="2"/>
        </w:numPr>
        <w:ind w:left="567" w:righ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proofErr w:type="spellStart"/>
      <w:r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Baba-Hamed</w:t>
      </w:r>
      <w:proofErr w:type="spellEnd"/>
      <w:r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 N, Portal A. </w:t>
      </w:r>
      <w:proofErr w:type="spellStart"/>
      <w:r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Carcinomes</w:t>
      </w:r>
      <w:proofErr w:type="spellEnd"/>
      <w:r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du</w:t>
      </w:r>
      <w:proofErr w:type="spellEnd"/>
      <w:r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 canal </w:t>
      </w:r>
      <w:proofErr w:type="spellStart"/>
      <w:r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anal</w:t>
      </w:r>
      <w:proofErr w:type="spellEnd"/>
      <w:r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 [Canal </w:t>
      </w:r>
      <w:proofErr w:type="spellStart"/>
      <w:r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anal</w:t>
      </w:r>
      <w:proofErr w:type="spellEnd"/>
      <w:r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 carcinoma]. </w:t>
      </w:r>
      <w:proofErr w:type="spellStart"/>
      <w:r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Rev</w:t>
      </w:r>
      <w:proofErr w:type="spellEnd"/>
      <w:r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Prat</w:t>
      </w:r>
      <w:proofErr w:type="spellEnd"/>
      <w:r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. 2019 Mar;69(3):311-317.</w:t>
      </w:r>
    </w:p>
    <w:p w:rsidR="00890BA3" w:rsidRPr="00CA4B5A" w:rsidRDefault="00890BA3" w:rsidP="00CA4B5A">
      <w:pPr>
        <w:ind w:righ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303201" w:rsidRPr="00CA4B5A" w:rsidRDefault="00303201" w:rsidP="005C0AED">
      <w:pPr>
        <w:pStyle w:val="Paragrafoelenco"/>
        <w:numPr>
          <w:ilvl w:val="0"/>
          <w:numId w:val="2"/>
        </w:numPr>
        <w:ind w:left="567" w:righ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A4B5A">
        <w:rPr>
          <w:rStyle w:val="nlmstring-name"/>
          <w:rFonts w:asciiTheme="minorHAnsi" w:hAnsiTheme="minorHAnsi" w:cstheme="minorHAnsi"/>
          <w:color w:val="000000" w:themeColor="text1"/>
          <w:sz w:val="28"/>
          <w:szCs w:val="28"/>
          <w:lang w:val="en-US"/>
        </w:rPr>
        <w:t>Goldstone </w:t>
      </w:r>
      <w:r w:rsidRPr="00CA4B5A">
        <w:rPr>
          <w:rStyle w:val="nlmgiven-names"/>
          <w:rFonts w:asciiTheme="minorHAnsi" w:hAnsiTheme="minorHAnsi" w:cstheme="minorHAnsi"/>
          <w:color w:val="000000" w:themeColor="text1"/>
          <w:sz w:val="28"/>
          <w:szCs w:val="28"/>
          <w:lang w:val="en-US"/>
        </w:rPr>
        <w:t>RN</w:t>
      </w:r>
      <w:r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E4"/>
          <w:lang w:val="en-US"/>
        </w:rPr>
        <w:t>, </w:t>
      </w:r>
      <w:r w:rsidRPr="00CA4B5A">
        <w:rPr>
          <w:rStyle w:val="nlmstring-name"/>
          <w:rFonts w:asciiTheme="minorHAnsi" w:hAnsiTheme="minorHAnsi" w:cstheme="minorHAnsi"/>
          <w:color w:val="000000" w:themeColor="text1"/>
          <w:sz w:val="28"/>
          <w:szCs w:val="28"/>
          <w:lang w:val="en-US"/>
        </w:rPr>
        <w:t>Goldstone </w:t>
      </w:r>
      <w:r w:rsidRPr="00CA4B5A">
        <w:rPr>
          <w:rStyle w:val="nlmgiven-names"/>
          <w:rFonts w:asciiTheme="minorHAnsi" w:hAnsiTheme="minorHAnsi" w:cstheme="minorHAnsi"/>
          <w:color w:val="000000" w:themeColor="text1"/>
          <w:sz w:val="28"/>
          <w:szCs w:val="28"/>
          <w:lang w:val="en-US"/>
        </w:rPr>
        <w:t>AB</w:t>
      </w:r>
      <w:r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E4"/>
          <w:lang w:val="en-US"/>
        </w:rPr>
        <w:t>, </w:t>
      </w:r>
      <w:r w:rsidRPr="00CA4B5A">
        <w:rPr>
          <w:rStyle w:val="nlmstring-name"/>
          <w:rFonts w:asciiTheme="minorHAnsi" w:hAnsiTheme="minorHAnsi" w:cstheme="minorHAnsi"/>
          <w:color w:val="000000" w:themeColor="text1"/>
          <w:sz w:val="28"/>
          <w:szCs w:val="28"/>
          <w:lang w:val="en-US"/>
        </w:rPr>
        <w:t>Russ </w:t>
      </w:r>
      <w:r w:rsidRPr="00CA4B5A">
        <w:rPr>
          <w:rStyle w:val="nlmgiven-names"/>
          <w:rFonts w:asciiTheme="minorHAnsi" w:hAnsiTheme="minorHAnsi" w:cstheme="minorHAnsi"/>
          <w:color w:val="000000" w:themeColor="text1"/>
          <w:sz w:val="28"/>
          <w:szCs w:val="28"/>
          <w:lang w:val="en-US"/>
        </w:rPr>
        <w:t>J</w:t>
      </w:r>
      <w:r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E4"/>
          <w:lang w:val="en-US"/>
        </w:rPr>
        <w:t>, et al. </w:t>
      </w:r>
      <w:r w:rsidRPr="00CA4B5A">
        <w:rPr>
          <w:rStyle w:val="nlmarticle-title"/>
          <w:rFonts w:asciiTheme="minorHAnsi" w:hAnsiTheme="minorHAnsi" w:cstheme="minorHAnsi"/>
          <w:color w:val="000000" w:themeColor="text1"/>
          <w:sz w:val="28"/>
          <w:szCs w:val="28"/>
          <w:lang w:val="en-US"/>
        </w:rPr>
        <w:t>Long-term follow-up of infrared coagulator ablation of anal high-grade dysplasia in men who have sex with men</w:t>
      </w:r>
      <w:r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E4"/>
          <w:lang w:val="en-US"/>
        </w:rPr>
        <w:t xml:space="preserve">. </w:t>
      </w:r>
      <w:proofErr w:type="spellStart"/>
      <w:r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E4"/>
        </w:rPr>
        <w:t>Dis</w:t>
      </w:r>
      <w:proofErr w:type="spellEnd"/>
      <w:r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E4"/>
        </w:rPr>
        <w:t xml:space="preserve"> Colon </w:t>
      </w:r>
      <w:proofErr w:type="spellStart"/>
      <w:r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E4"/>
        </w:rPr>
        <w:t>Rectum</w:t>
      </w:r>
      <w:proofErr w:type="spellEnd"/>
      <w:r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E4"/>
        </w:rPr>
        <w:t>. </w:t>
      </w:r>
      <w:r w:rsidR="005C0AED" w:rsidRPr="00CA4B5A">
        <w:rPr>
          <w:rStyle w:val="nlmyear"/>
          <w:rFonts w:asciiTheme="minorHAnsi" w:hAnsiTheme="minorHAnsi" w:cstheme="minorHAnsi"/>
          <w:color w:val="000000" w:themeColor="text1"/>
          <w:sz w:val="28"/>
          <w:szCs w:val="28"/>
        </w:rPr>
        <w:t>2011</w:t>
      </w:r>
      <w:r w:rsidR="005C0AED"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E4"/>
        </w:rPr>
        <w:t>; 54:1284</w:t>
      </w:r>
      <w:r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E4"/>
        </w:rPr>
        <w:t>-</w:t>
      </w:r>
      <w:r w:rsidRPr="00CA4B5A">
        <w:rPr>
          <w:rStyle w:val="nlmlpage"/>
          <w:rFonts w:asciiTheme="minorHAnsi" w:hAnsiTheme="minorHAnsi" w:cstheme="minorHAnsi"/>
          <w:color w:val="000000" w:themeColor="text1"/>
          <w:sz w:val="28"/>
          <w:szCs w:val="28"/>
        </w:rPr>
        <w:t>1292</w:t>
      </w:r>
      <w:r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E4"/>
        </w:rPr>
        <w:t>.</w:t>
      </w:r>
    </w:p>
    <w:p w:rsidR="00D464E9" w:rsidRPr="00CA4B5A" w:rsidRDefault="00D464E9" w:rsidP="00D464E9">
      <w:pPr>
        <w:pStyle w:val="Paragrafoelenco"/>
        <w:ind w:left="567" w:righ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303201" w:rsidRPr="00CA4B5A" w:rsidRDefault="00303201" w:rsidP="005C0AED">
      <w:pPr>
        <w:pStyle w:val="Paragrafoelenco"/>
        <w:numPr>
          <w:ilvl w:val="0"/>
          <w:numId w:val="2"/>
        </w:numPr>
        <w:ind w:left="567" w:righ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A4B5A">
        <w:rPr>
          <w:rStyle w:val="nlmstring-name"/>
          <w:rFonts w:asciiTheme="minorHAnsi" w:hAnsiTheme="minorHAnsi" w:cstheme="minorHAnsi"/>
          <w:color w:val="000000" w:themeColor="text1"/>
          <w:sz w:val="28"/>
          <w:szCs w:val="28"/>
          <w:lang w:val="en-US"/>
        </w:rPr>
        <w:t>Marks </w:t>
      </w:r>
      <w:r w:rsidRPr="00CA4B5A">
        <w:rPr>
          <w:rStyle w:val="nlmgiven-names"/>
          <w:rFonts w:asciiTheme="minorHAnsi" w:hAnsiTheme="minorHAnsi" w:cstheme="minorHAnsi"/>
          <w:color w:val="000000" w:themeColor="text1"/>
          <w:sz w:val="28"/>
          <w:szCs w:val="28"/>
          <w:lang w:val="en-US"/>
        </w:rPr>
        <w:t>DK</w:t>
      </w:r>
      <w:r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E4"/>
          <w:lang w:val="en-US"/>
        </w:rPr>
        <w:t>, </w:t>
      </w:r>
      <w:r w:rsidRPr="00CA4B5A">
        <w:rPr>
          <w:rStyle w:val="nlmstring-name"/>
          <w:rFonts w:asciiTheme="minorHAnsi" w:hAnsiTheme="minorHAnsi" w:cstheme="minorHAnsi"/>
          <w:color w:val="000000" w:themeColor="text1"/>
          <w:sz w:val="28"/>
          <w:szCs w:val="28"/>
          <w:lang w:val="en-US"/>
        </w:rPr>
        <w:t>Goldstone </w:t>
      </w:r>
      <w:r w:rsidRPr="00CA4B5A">
        <w:rPr>
          <w:rStyle w:val="nlmgiven-names"/>
          <w:rFonts w:asciiTheme="minorHAnsi" w:hAnsiTheme="minorHAnsi" w:cstheme="minorHAnsi"/>
          <w:color w:val="000000" w:themeColor="text1"/>
          <w:sz w:val="28"/>
          <w:szCs w:val="28"/>
          <w:lang w:val="en-US"/>
        </w:rPr>
        <w:t>SE</w:t>
      </w:r>
      <w:r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E4"/>
          <w:lang w:val="en-US"/>
        </w:rPr>
        <w:t>. </w:t>
      </w:r>
      <w:r w:rsidRPr="00CA4B5A">
        <w:rPr>
          <w:rStyle w:val="nlmarticle-title"/>
          <w:rFonts w:asciiTheme="minorHAnsi" w:hAnsiTheme="minorHAnsi" w:cstheme="minorHAnsi"/>
          <w:color w:val="000000" w:themeColor="text1"/>
          <w:sz w:val="28"/>
          <w:szCs w:val="28"/>
          <w:lang w:val="en-US"/>
        </w:rPr>
        <w:t>Electrocautery ablation of high-grade anal squamous intraepithelial lesions in HIV-negative and HIV-positive men who have sex with men</w:t>
      </w:r>
      <w:r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E4"/>
          <w:lang w:val="en-US"/>
        </w:rPr>
        <w:t xml:space="preserve">. </w:t>
      </w:r>
      <w:r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E4"/>
        </w:rPr>
        <w:t xml:space="preserve">J </w:t>
      </w:r>
      <w:proofErr w:type="spellStart"/>
      <w:r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E4"/>
        </w:rPr>
        <w:t>Acquir</w:t>
      </w:r>
      <w:proofErr w:type="spellEnd"/>
      <w:r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E4"/>
        </w:rPr>
        <w:t xml:space="preserve"> Immune </w:t>
      </w:r>
      <w:proofErr w:type="spellStart"/>
      <w:r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E4"/>
        </w:rPr>
        <w:t>Defic</w:t>
      </w:r>
      <w:proofErr w:type="spellEnd"/>
      <w:r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E4"/>
        </w:rPr>
        <w:t xml:space="preserve"> </w:t>
      </w:r>
      <w:proofErr w:type="spellStart"/>
      <w:r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E4"/>
        </w:rPr>
        <w:t>Syndr</w:t>
      </w:r>
      <w:proofErr w:type="spellEnd"/>
      <w:r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E4"/>
        </w:rPr>
        <w:t>. </w:t>
      </w:r>
      <w:r w:rsidR="005C0AED" w:rsidRPr="00CA4B5A">
        <w:rPr>
          <w:rStyle w:val="nlmyear"/>
          <w:rFonts w:asciiTheme="minorHAnsi" w:hAnsiTheme="minorHAnsi" w:cstheme="minorHAnsi"/>
          <w:color w:val="000000" w:themeColor="text1"/>
          <w:sz w:val="28"/>
          <w:szCs w:val="28"/>
        </w:rPr>
        <w:t>2012</w:t>
      </w:r>
      <w:r w:rsidR="005C0AED"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E4"/>
        </w:rPr>
        <w:t>; 59:259</w:t>
      </w:r>
      <w:r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E4"/>
        </w:rPr>
        <w:t>-</w:t>
      </w:r>
      <w:r w:rsidRPr="00CA4B5A">
        <w:rPr>
          <w:rStyle w:val="nlmlpage"/>
          <w:rFonts w:asciiTheme="minorHAnsi" w:hAnsiTheme="minorHAnsi" w:cstheme="minorHAnsi"/>
          <w:color w:val="000000" w:themeColor="text1"/>
          <w:sz w:val="28"/>
          <w:szCs w:val="28"/>
        </w:rPr>
        <w:t>265</w:t>
      </w:r>
      <w:r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E4"/>
        </w:rPr>
        <w:t>.</w:t>
      </w:r>
    </w:p>
    <w:p w:rsidR="00D464E9" w:rsidRPr="00CA4B5A" w:rsidRDefault="00D464E9" w:rsidP="00D464E9">
      <w:pPr>
        <w:pStyle w:val="Paragrafoelenco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D464E9" w:rsidRPr="00CA4B5A" w:rsidRDefault="00D464E9" w:rsidP="00D464E9">
      <w:pPr>
        <w:pStyle w:val="Paragrafoelenco"/>
        <w:numPr>
          <w:ilvl w:val="0"/>
          <w:numId w:val="2"/>
        </w:numPr>
        <w:ind w:left="567" w:righ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proofErr w:type="spellStart"/>
      <w:r w:rsidRPr="00CA4B5A"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  <w:t>Palefsky</w:t>
      </w:r>
      <w:proofErr w:type="spellEnd"/>
      <w:r w:rsidRPr="00CA4B5A"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  <w:t xml:space="preserve"> JM, Holly EA, Hogeboom CJ, Berry JM, Jay N, Darragh TM. Anal cytology as a screening tool for anal squamous intraepithelial lesions. </w:t>
      </w:r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J </w:t>
      </w:r>
      <w:proofErr w:type="spellStart"/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Acquir</w:t>
      </w:r>
      <w:proofErr w:type="spellEnd"/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Immune </w:t>
      </w:r>
      <w:proofErr w:type="spellStart"/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Defic</w:t>
      </w:r>
      <w:proofErr w:type="spellEnd"/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Syndr</w:t>
      </w:r>
      <w:proofErr w:type="spellEnd"/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Hum</w:t>
      </w:r>
      <w:proofErr w:type="spellEnd"/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Retrovirol</w:t>
      </w:r>
      <w:proofErr w:type="spellEnd"/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. 1997; 14:415–422.</w:t>
      </w:r>
    </w:p>
    <w:p w:rsidR="00D464E9" w:rsidRPr="00CA4B5A" w:rsidRDefault="00D464E9" w:rsidP="00D464E9">
      <w:pPr>
        <w:pStyle w:val="Paragrafoelenco"/>
        <w:ind w:left="567" w:righ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E36A93" w:rsidRPr="00CA4B5A" w:rsidRDefault="00E36A93" w:rsidP="005C0AED">
      <w:pPr>
        <w:pStyle w:val="Paragrafoelenco"/>
        <w:numPr>
          <w:ilvl w:val="0"/>
          <w:numId w:val="2"/>
        </w:numPr>
        <w:ind w:left="567" w:righ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A4B5A">
        <w:rPr>
          <w:rStyle w:val="nlmstring-name"/>
          <w:rFonts w:asciiTheme="minorHAnsi" w:hAnsiTheme="minorHAnsi" w:cstheme="minorHAnsi"/>
          <w:color w:val="000000" w:themeColor="text1"/>
          <w:sz w:val="28"/>
          <w:szCs w:val="28"/>
          <w:lang w:val="en-US"/>
        </w:rPr>
        <w:t>Berry </w:t>
      </w:r>
      <w:r w:rsidRPr="00CA4B5A">
        <w:rPr>
          <w:rStyle w:val="nlmgiven-names"/>
          <w:rFonts w:asciiTheme="minorHAnsi" w:hAnsiTheme="minorHAnsi" w:cstheme="minorHAnsi"/>
          <w:color w:val="000000" w:themeColor="text1"/>
          <w:sz w:val="28"/>
          <w:szCs w:val="28"/>
          <w:lang w:val="en-US"/>
        </w:rPr>
        <w:t>JM</w:t>
      </w:r>
      <w:r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E4"/>
          <w:lang w:val="en-US"/>
        </w:rPr>
        <w:t>, </w:t>
      </w:r>
      <w:proofErr w:type="spellStart"/>
      <w:r w:rsidRPr="00CA4B5A">
        <w:rPr>
          <w:rStyle w:val="nlmstring-name"/>
          <w:rFonts w:asciiTheme="minorHAnsi" w:hAnsiTheme="minorHAnsi" w:cstheme="minorHAnsi"/>
          <w:color w:val="000000" w:themeColor="text1"/>
          <w:sz w:val="28"/>
          <w:szCs w:val="28"/>
          <w:lang w:val="en-US"/>
        </w:rPr>
        <w:t>Palefsky</w:t>
      </w:r>
      <w:proofErr w:type="spellEnd"/>
      <w:r w:rsidRPr="00CA4B5A">
        <w:rPr>
          <w:rStyle w:val="nlmstring-name"/>
          <w:rFonts w:asciiTheme="minorHAnsi" w:hAnsiTheme="minorHAnsi" w:cstheme="minorHAnsi"/>
          <w:color w:val="000000" w:themeColor="text1"/>
          <w:sz w:val="28"/>
          <w:szCs w:val="28"/>
          <w:lang w:val="en-US"/>
        </w:rPr>
        <w:t> </w:t>
      </w:r>
      <w:r w:rsidRPr="00CA4B5A">
        <w:rPr>
          <w:rStyle w:val="nlmgiven-names"/>
          <w:rFonts w:asciiTheme="minorHAnsi" w:hAnsiTheme="minorHAnsi" w:cstheme="minorHAnsi"/>
          <w:color w:val="000000" w:themeColor="text1"/>
          <w:sz w:val="28"/>
          <w:szCs w:val="28"/>
          <w:lang w:val="en-US"/>
        </w:rPr>
        <w:t>JM</w:t>
      </w:r>
      <w:r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E4"/>
          <w:lang w:val="en-US"/>
        </w:rPr>
        <w:t>, </w:t>
      </w:r>
      <w:r w:rsidRPr="00CA4B5A">
        <w:rPr>
          <w:rStyle w:val="nlmstring-name"/>
          <w:rFonts w:asciiTheme="minorHAnsi" w:hAnsiTheme="minorHAnsi" w:cstheme="minorHAnsi"/>
          <w:color w:val="000000" w:themeColor="text1"/>
          <w:sz w:val="28"/>
          <w:szCs w:val="28"/>
          <w:lang w:val="en-US"/>
        </w:rPr>
        <w:t>Jay </w:t>
      </w:r>
      <w:r w:rsidRPr="00CA4B5A">
        <w:rPr>
          <w:rStyle w:val="nlmgiven-names"/>
          <w:rFonts w:asciiTheme="minorHAnsi" w:hAnsiTheme="minorHAnsi" w:cstheme="minorHAnsi"/>
          <w:color w:val="000000" w:themeColor="text1"/>
          <w:sz w:val="28"/>
          <w:szCs w:val="28"/>
          <w:lang w:val="en-US"/>
        </w:rPr>
        <w:t>N</w:t>
      </w:r>
      <w:r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E4"/>
          <w:lang w:val="en-US"/>
        </w:rPr>
        <w:t>, et al. </w:t>
      </w:r>
      <w:r w:rsidRPr="00CA4B5A">
        <w:rPr>
          <w:rStyle w:val="nlmarticle-title"/>
          <w:rFonts w:asciiTheme="minorHAnsi" w:hAnsiTheme="minorHAnsi" w:cstheme="minorHAnsi"/>
          <w:color w:val="000000" w:themeColor="text1"/>
          <w:sz w:val="28"/>
          <w:szCs w:val="28"/>
          <w:lang w:val="en-US"/>
        </w:rPr>
        <w:t xml:space="preserve">Performance characteristics of anal cytology and human papillomavirus testing in patients with high-resolution </w:t>
      </w:r>
      <w:proofErr w:type="spellStart"/>
      <w:r w:rsidRPr="00CA4B5A">
        <w:rPr>
          <w:rStyle w:val="nlmarticle-title"/>
          <w:rFonts w:asciiTheme="minorHAnsi" w:hAnsiTheme="minorHAnsi" w:cstheme="minorHAnsi"/>
          <w:color w:val="000000" w:themeColor="text1"/>
          <w:sz w:val="28"/>
          <w:szCs w:val="28"/>
          <w:lang w:val="en-US"/>
        </w:rPr>
        <w:t>anoscopy</w:t>
      </w:r>
      <w:proofErr w:type="spellEnd"/>
      <w:r w:rsidRPr="00CA4B5A">
        <w:rPr>
          <w:rStyle w:val="nlmarticle-title"/>
          <w:rFonts w:asciiTheme="minorHAnsi" w:hAnsiTheme="minorHAnsi" w:cstheme="minorHAnsi"/>
          <w:color w:val="000000" w:themeColor="text1"/>
          <w:sz w:val="28"/>
          <w:szCs w:val="28"/>
          <w:lang w:val="en-US"/>
        </w:rPr>
        <w:t>-guided biopsy of high-grade anal intraepithelial neoplasia</w:t>
      </w:r>
      <w:r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E4"/>
          <w:lang w:val="en-US"/>
        </w:rPr>
        <w:t xml:space="preserve">. </w:t>
      </w:r>
      <w:proofErr w:type="spellStart"/>
      <w:r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E4"/>
        </w:rPr>
        <w:t>Dis</w:t>
      </w:r>
      <w:proofErr w:type="spellEnd"/>
      <w:r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E4"/>
        </w:rPr>
        <w:t xml:space="preserve"> Colon </w:t>
      </w:r>
      <w:proofErr w:type="spellStart"/>
      <w:r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E4"/>
        </w:rPr>
        <w:t>Rectum</w:t>
      </w:r>
      <w:proofErr w:type="spellEnd"/>
      <w:r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E4"/>
        </w:rPr>
        <w:t>. </w:t>
      </w:r>
      <w:r w:rsidR="005C0AED" w:rsidRPr="00CA4B5A">
        <w:rPr>
          <w:rStyle w:val="nlmyear"/>
          <w:rFonts w:asciiTheme="minorHAnsi" w:hAnsiTheme="minorHAnsi" w:cstheme="minorHAnsi"/>
          <w:color w:val="000000" w:themeColor="text1"/>
          <w:sz w:val="28"/>
          <w:szCs w:val="28"/>
        </w:rPr>
        <w:t>2009</w:t>
      </w:r>
      <w:r w:rsidR="005C0AED"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E4"/>
        </w:rPr>
        <w:t>; 52:239</w:t>
      </w:r>
      <w:r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E4"/>
        </w:rPr>
        <w:t>-</w:t>
      </w:r>
      <w:r w:rsidRPr="00CA4B5A">
        <w:rPr>
          <w:rStyle w:val="nlmlpage"/>
          <w:rFonts w:asciiTheme="minorHAnsi" w:hAnsiTheme="minorHAnsi" w:cstheme="minorHAnsi"/>
          <w:color w:val="000000" w:themeColor="text1"/>
          <w:sz w:val="28"/>
          <w:szCs w:val="28"/>
        </w:rPr>
        <w:t>247</w:t>
      </w:r>
      <w:r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E4"/>
        </w:rPr>
        <w:t>.</w:t>
      </w:r>
    </w:p>
    <w:p w:rsidR="00303201" w:rsidRPr="00CA4B5A" w:rsidRDefault="00303201" w:rsidP="005C0AED">
      <w:pPr>
        <w:pStyle w:val="Paragrafoelenco"/>
        <w:ind w:left="567" w:righ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84034D" w:rsidRPr="00CA4B5A" w:rsidRDefault="0084034D" w:rsidP="005C0AED">
      <w:pPr>
        <w:pStyle w:val="Paragrafoelenco"/>
        <w:numPr>
          <w:ilvl w:val="0"/>
          <w:numId w:val="2"/>
        </w:numPr>
        <w:ind w:left="567" w:righ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proofErr w:type="spellStart"/>
      <w:r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  <w:lang w:val="en-US"/>
        </w:rPr>
        <w:t>Eng</w:t>
      </w:r>
      <w:proofErr w:type="spellEnd"/>
      <w:r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  <w:lang w:val="en-US"/>
        </w:rPr>
        <w:t xml:space="preserve"> C, Messick C, Glynne-Jones R. The Management and Prevention of Anal Squamous Cell Carcinoma. Am Soc Clin Oncol Educ Book. 2019 </w:t>
      </w:r>
      <w:proofErr w:type="spellStart"/>
      <w:r w:rsidR="005C0AED"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Jan</w:t>
      </w:r>
      <w:proofErr w:type="spellEnd"/>
      <w:r w:rsidR="005C0AED"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; 39:216</w:t>
      </w:r>
      <w:r w:rsidRPr="00CA4B5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-225.</w:t>
      </w:r>
    </w:p>
    <w:p w:rsidR="00D464E9" w:rsidRPr="00CA4B5A" w:rsidRDefault="00D464E9" w:rsidP="00D464E9">
      <w:pPr>
        <w:pStyle w:val="Paragrafoelenco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D464E9" w:rsidRPr="00CA4B5A" w:rsidRDefault="00D464E9" w:rsidP="00D464E9">
      <w:pPr>
        <w:pStyle w:val="Paragrafoelenco"/>
        <w:numPr>
          <w:ilvl w:val="0"/>
          <w:numId w:val="2"/>
        </w:numPr>
        <w:ind w:left="567" w:righ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A4B5A"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  <w:t xml:space="preserve">Osborne MC, </w:t>
      </w:r>
      <w:proofErr w:type="spellStart"/>
      <w:r w:rsidRPr="00CA4B5A"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  <w:t>Maykel</w:t>
      </w:r>
      <w:proofErr w:type="spellEnd"/>
      <w:r w:rsidRPr="00CA4B5A"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  <w:t xml:space="preserve"> J, Johnson EK, Steele SR. Anal squamous cell carcinoma: an evolution in disease and management. </w:t>
      </w:r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World J </w:t>
      </w:r>
      <w:proofErr w:type="spellStart"/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Gastroenterol</w:t>
      </w:r>
      <w:proofErr w:type="spellEnd"/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. 2014; 20:13052–13059.</w:t>
      </w:r>
    </w:p>
    <w:p w:rsidR="00D464E9" w:rsidRPr="00CA4B5A" w:rsidRDefault="00D464E9" w:rsidP="00D464E9">
      <w:pPr>
        <w:pStyle w:val="Paragrafoelenco"/>
        <w:ind w:left="567" w:righ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CB4FCC" w:rsidRPr="00CA4B5A" w:rsidRDefault="00CB4FCC" w:rsidP="005C0AED">
      <w:pPr>
        <w:pStyle w:val="Paragrafoelenco"/>
        <w:numPr>
          <w:ilvl w:val="0"/>
          <w:numId w:val="2"/>
        </w:numPr>
        <w:ind w:left="567" w:righ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proofErr w:type="spellStart"/>
      <w:r w:rsidRPr="00CA4B5A"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  <w:t>Tanum</w:t>
      </w:r>
      <w:proofErr w:type="spellEnd"/>
      <w:r w:rsidRPr="00CA4B5A"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  <w:t xml:space="preserve"> G, </w:t>
      </w:r>
      <w:proofErr w:type="spellStart"/>
      <w:r w:rsidRPr="00CA4B5A"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  <w:t>Tveit</w:t>
      </w:r>
      <w:proofErr w:type="spellEnd"/>
      <w:r w:rsidRPr="00CA4B5A"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  <w:t xml:space="preserve"> K, Karlsen KO. Diagnosis of anal carcinoma–doctor’s finger still the best? Oncology. </w:t>
      </w:r>
      <w:proofErr w:type="gramStart"/>
      <w:r w:rsidRPr="00CA4B5A"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  <w:t>1991;48:383</w:t>
      </w:r>
      <w:proofErr w:type="gramEnd"/>
      <w:r w:rsidRPr="00CA4B5A"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  <w:t xml:space="preserve">–386 </w:t>
      </w:r>
    </w:p>
    <w:p w:rsidR="00C56B7C" w:rsidRPr="00CA4B5A" w:rsidRDefault="00C56B7C" w:rsidP="00D464E9">
      <w:pPr>
        <w:pStyle w:val="Paragrafoelenco"/>
        <w:ind w:left="567" w:righ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E04980" w:rsidRDefault="00E04980" w:rsidP="005C0AED">
      <w:pPr>
        <w:ind w:left="567" w:right="567"/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CA4B5A" w:rsidRDefault="00CA4B5A" w:rsidP="005C0AED">
      <w:pPr>
        <w:ind w:left="567" w:right="567"/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CA4B5A" w:rsidRDefault="00CA4B5A" w:rsidP="005C0AED">
      <w:pPr>
        <w:ind w:left="567" w:right="567"/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CA4B5A" w:rsidRDefault="00CA4B5A" w:rsidP="005C0AED">
      <w:pPr>
        <w:ind w:left="567" w:right="567"/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CA4B5A" w:rsidRDefault="00CA4B5A" w:rsidP="005C0AED">
      <w:pPr>
        <w:ind w:left="567" w:right="567"/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CA4B5A" w:rsidRDefault="00CA4B5A" w:rsidP="005C0AED">
      <w:pPr>
        <w:ind w:left="567" w:right="567"/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CA4B5A" w:rsidRDefault="00CA4B5A" w:rsidP="005C0AED">
      <w:pPr>
        <w:ind w:left="567" w:right="567"/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CA4B5A" w:rsidRDefault="00CA4B5A" w:rsidP="005C0AED">
      <w:pPr>
        <w:ind w:left="567" w:right="567"/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CA4B5A" w:rsidRDefault="00CA4B5A" w:rsidP="005C0AED">
      <w:pPr>
        <w:ind w:left="567" w:right="567"/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CA4B5A" w:rsidRDefault="00CA4B5A" w:rsidP="005C0AED">
      <w:pPr>
        <w:ind w:left="567" w:right="567"/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CA4B5A" w:rsidRDefault="00CA4B5A" w:rsidP="005C0AED">
      <w:pPr>
        <w:ind w:left="567" w:right="567"/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CA4B5A" w:rsidRDefault="00CA4B5A" w:rsidP="005C0AED">
      <w:pPr>
        <w:ind w:left="567" w:right="567"/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CA4B5A" w:rsidRDefault="00CA4B5A" w:rsidP="005C0AED">
      <w:pPr>
        <w:ind w:left="567" w:right="567"/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CA4B5A" w:rsidRDefault="00CA4B5A" w:rsidP="005C0AED">
      <w:pPr>
        <w:ind w:left="567" w:right="567"/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CA4B5A" w:rsidRDefault="00CA4B5A" w:rsidP="005C0AED">
      <w:pPr>
        <w:ind w:left="567" w:right="567"/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CA4B5A" w:rsidRDefault="00CA4B5A" w:rsidP="005C0AED">
      <w:pPr>
        <w:ind w:left="567" w:right="567"/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CA4B5A" w:rsidRDefault="00CA4B5A" w:rsidP="005C0AED">
      <w:pPr>
        <w:ind w:left="567" w:right="567"/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CA4B5A" w:rsidRDefault="00CA4B5A" w:rsidP="005C0AED">
      <w:pPr>
        <w:ind w:left="567" w:right="567"/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CA4B5A" w:rsidRDefault="00CA4B5A" w:rsidP="005C0AED">
      <w:pPr>
        <w:ind w:left="567" w:right="567"/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CA4B5A" w:rsidRDefault="00CA4B5A" w:rsidP="005C0AED">
      <w:pPr>
        <w:ind w:left="567" w:right="567"/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CA4B5A" w:rsidRDefault="00CA4B5A" w:rsidP="005C0AED">
      <w:pPr>
        <w:ind w:left="567" w:right="567"/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CA4B5A" w:rsidRDefault="00CA4B5A" w:rsidP="005C0AED">
      <w:pPr>
        <w:ind w:left="567" w:right="567"/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CA4B5A" w:rsidRDefault="00CA4B5A" w:rsidP="005C0AED">
      <w:pPr>
        <w:ind w:left="567" w:right="567"/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CA4B5A" w:rsidRDefault="00CA4B5A" w:rsidP="005C0AED">
      <w:pPr>
        <w:ind w:left="567" w:right="567"/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CA4B5A" w:rsidRDefault="00CA4B5A" w:rsidP="005C0AED">
      <w:pPr>
        <w:ind w:left="567" w:right="567"/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CA4B5A" w:rsidRDefault="00CA4B5A" w:rsidP="005C0AED">
      <w:pPr>
        <w:ind w:left="567" w:right="567"/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CA4B5A" w:rsidRDefault="00CA4B5A" w:rsidP="005C0AED">
      <w:pPr>
        <w:ind w:left="567" w:right="567"/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CA4B5A" w:rsidRDefault="00CA4B5A" w:rsidP="005C0AED">
      <w:pPr>
        <w:ind w:left="567" w:right="567"/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CA4B5A" w:rsidRDefault="00CA4B5A" w:rsidP="005C0AED">
      <w:pPr>
        <w:ind w:left="567" w:right="567"/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CA4B5A" w:rsidRDefault="00CA4B5A" w:rsidP="005C0AED">
      <w:pPr>
        <w:ind w:left="567" w:right="567"/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CA4B5A" w:rsidRDefault="00CA4B5A" w:rsidP="005C0AED">
      <w:pPr>
        <w:ind w:left="567" w:right="567"/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CA4B5A" w:rsidRPr="00CA4B5A" w:rsidRDefault="00CA4B5A" w:rsidP="005C0AED">
      <w:pPr>
        <w:ind w:left="567" w:right="567"/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1C1396" w:rsidRPr="00CA4B5A" w:rsidRDefault="001C1396" w:rsidP="005C0AED">
      <w:pPr>
        <w:ind w:left="567" w:right="567"/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1C1396" w:rsidRPr="00CA4B5A" w:rsidRDefault="00311205" w:rsidP="005C0AED">
      <w:pPr>
        <w:ind w:left="567" w:right="567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A4B5A">
        <w:rPr>
          <w:rFonts w:asciiTheme="minorHAnsi" w:hAnsiTheme="minorHAnsi" w:cstheme="minorHAnsi"/>
          <w:b/>
          <w:color w:val="000000" w:themeColor="text1"/>
          <w:sz w:val="28"/>
          <w:szCs w:val="28"/>
        </w:rPr>
        <w:lastRenderedPageBreak/>
        <w:t>PIANO DI ATTTIVITA’</w:t>
      </w:r>
    </w:p>
    <w:p w:rsidR="00311205" w:rsidRPr="00CA4B5A" w:rsidRDefault="00311205" w:rsidP="005C0AED">
      <w:pPr>
        <w:ind w:left="567" w:right="567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:rsidR="00311205" w:rsidRPr="00CA4B5A" w:rsidRDefault="00311205" w:rsidP="005C0AED">
      <w:pPr>
        <w:ind w:left="567" w:right="567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A4B5A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Obiettivi dello studio</w:t>
      </w:r>
    </w:p>
    <w:p w:rsidR="00311205" w:rsidRPr="00CA4B5A" w:rsidRDefault="00311205" w:rsidP="005C0AED">
      <w:pPr>
        <w:tabs>
          <w:tab w:val="left" w:pos="1220"/>
        </w:tabs>
        <w:ind w:left="567" w:right="567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A4B5A">
        <w:rPr>
          <w:rFonts w:asciiTheme="minorHAnsi" w:hAnsiTheme="minorHAnsi" w:cstheme="minorHAnsi"/>
          <w:b/>
          <w:color w:val="000000" w:themeColor="text1"/>
          <w:sz w:val="28"/>
          <w:szCs w:val="28"/>
        </w:rPr>
        <w:tab/>
      </w:r>
    </w:p>
    <w:p w:rsidR="00311205" w:rsidRPr="00CA4B5A" w:rsidRDefault="00311205" w:rsidP="005C0AED">
      <w:pPr>
        <w:pStyle w:val="Grigliamedia1-Colore21"/>
        <w:numPr>
          <w:ilvl w:val="0"/>
          <w:numId w:val="1"/>
        </w:numPr>
        <w:spacing w:after="120"/>
        <w:ind w:left="567" w:righ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Valutazione della prevalenza e dell’incidenza di lesioni </w:t>
      </w:r>
      <w:proofErr w:type="spellStart"/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pre</w:t>
      </w:r>
      <w:proofErr w:type="spellEnd"/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-cancerose anali in una coorte di pazienti ad aumentato rischio (</w:t>
      </w:r>
      <w:r w:rsidR="009C1C8A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s</w:t>
      </w:r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toria di pregresse neoplasie HPV-relate vulvari o cervicali, pregresse o attuali neoplasie intraepiteliali ad alto grado cervicali o vulvari</w:t>
      </w:r>
      <w:r w:rsidR="003370A7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donne con lesioni muco-cutanee ano-genitali clinicamente e/o </w:t>
      </w:r>
      <w:proofErr w:type="spellStart"/>
      <w:r w:rsidR="003370A7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dermoscopicamente</w:t>
      </w:r>
      <w:proofErr w:type="spellEnd"/>
      <w:r w:rsidR="003370A7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="003370A7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sospettte</w:t>
      </w:r>
      <w:proofErr w:type="spellEnd"/>
      <w:r w:rsidR="003370A7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donne HIV positive </w:t>
      </w:r>
      <w:r w:rsidR="009C1C8A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con anamnesi positiva per patologia HPV-relata</w:t>
      </w:r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).</w:t>
      </w:r>
    </w:p>
    <w:p w:rsidR="00311205" w:rsidRPr="00CA4B5A" w:rsidRDefault="00311205" w:rsidP="005C0AED">
      <w:pPr>
        <w:pStyle w:val="Grigliamedia1-Colore21"/>
        <w:numPr>
          <w:ilvl w:val="0"/>
          <w:numId w:val="1"/>
        </w:numPr>
        <w:tabs>
          <w:tab w:val="left" w:pos="1220"/>
        </w:tabs>
        <w:spacing w:after="120"/>
        <w:ind w:left="567" w:right="567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Identificazione dei fattori predittivi di evoluzione delle </w:t>
      </w:r>
      <w:proofErr w:type="spellStart"/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pre</w:t>
      </w:r>
      <w:proofErr w:type="spellEnd"/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-cancerosi anali.</w:t>
      </w:r>
    </w:p>
    <w:p w:rsidR="00B951B5" w:rsidRPr="00CA4B5A" w:rsidRDefault="004235E9" w:rsidP="005C0AED">
      <w:pPr>
        <w:pStyle w:val="Grigliamedia1-Colore21"/>
        <w:numPr>
          <w:ilvl w:val="0"/>
          <w:numId w:val="1"/>
        </w:numPr>
        <w:spacing w:after="120"/>
        <w:ind w:left="567" w:righ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Proposta</w:t>
      </w:r>
      <w:r w:rsidR="00B951B5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di un modello predittivo di rischio evolutivo e di intervalli di sorveglianza stratificati per il rischio evolutivo.</w:t>
      </w:r>
    </w:p>
    <w:p w:rsidR="00B951B5" w:rsidRPr="00CA4B5A" w:rsidRDefault="00B951B5" w:rsidP="005C0AED">
      <w:pPr>
        <w:pStyle w:val="Grigliamedia1-Colore21"/>
        <w:tabs>
          <w:tab w:val="left" w:pos="1220"/>
        </w:tabs>
        <w:spacing w:after="120"/>
        <w:ind w:left="567" w:right="567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:rsidR="00311205" w:rsidRPr="00CA4B5A" w:rsidRDefault="00311205" w:rsidP="005C0AED">
      <w:pPr>
        <w:ind w:left="567" w:right="567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A4B5A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Materiali e metodi</w:t>
      </w:r>
    </w:p>
    <w:p w:rsidR="00B951B5" w:rsidRPr="00CA4B5A" w:rsidRDefault="00B951B5" w:rsidP="005C0AED">
      <w:pPr>
        <w:ind w:left="567" w:right="567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:rsidR="00B951B5" w:rsidRPr="00CA4B5A" w:rsidRDefault="00B951B5" w:rsidP="005C0AED">
      <w:pPr>
        <w:ind w:left="567" w:right="567"/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Le attività si svolgeranno presso l’ambulatorio MTS (Malattie a Trasmissione Sessuale) della U.O. Dermatologia del Dipartimento di Medicina Specialistica, Diagnostica e Sperimentale, dove verranno effettuate tutte le visite dei pazienti.</w:t>
      </w:r>
    </w:p>
    <w:p w:rsidR="007F0FA5" w:rsidRPr="00CA4B5A" w:rsidRDefault="00A57C84" w:rsidP="005C0AED">
      <w:pPr>
        <w:ind w:left="567" w:right="567"/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I</w:t>
      </w:r>
      <w:r w:rsidR="00DA2656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pazienti </w:t>
      </w:r>
      <w:r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possono accedere a tale ambulatorio tramite</w:t>
      </w:r>
      <w:r w:rsidR="00DA2656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accesso diretto</w:t>
      </w:r>
      <w:r w:rsidR="007F0FA5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.</w:t>
      </w:r>
    </w:p>
    <w:p w:rsidR="0092751B" w:rsidRPr="00CA4B5A" w:rsidRDefault="00A879F7" w:rsidP="005C0AED">
      <w:pPr>
        <w:ind w:left="567" w:righ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I criteri di inclusione saranno i seguenti: pazienti di sess</w:t>
      </w:r>
      <w:r w:rsidR="007F0FA5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o femminile, di età compresa tra i 18 e i 25 </w:t>
      </w:r>
      <w:r w:rsidR="00D464E9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anni, presenza</w:t>
      </w:r>
      <w:r w:rsidR="00433492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di lesioni muco-</w:t>
      </w:r>
      <w:r w:rsidR="007146A6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cutanee</w:t>
      </w:r>
      <w:r w:rsidR="00433492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clinicamente e </w:t>
      </w:r>
      <w:r w:rsidR="007146A6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demoscopicamente</w:t>
      </w:r>
      <w:r w:rsidR="00433492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</w:t>
      </w:r>
      <w:r w:rsidR="007146A6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suggestive</w:t>
      </w:r>
      <w:r w:rsidR="00433492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per precancerosi o neoplasia, </w:t>
      </w:r>
      <w:r w:rsidR="007F0FA5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presenza di lesioni ano-genitali HPV-relate in corso di documentata positività per HIV, </w:t>
      </w:r>
      <w:r w:rsidR="00433492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storia di pregresse neoplasie </w:t>
      </w:r>
      <w:r w:rsidR="0092751B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intraepiteliali </w:t>
      </w:r>
      <w:r w:rsidR="00433492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HPV-relate vulvari o cervicali</w:t>
      </w:r>
      <w:r w:rsidR="0092751B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</w:t>
      </w:r>
    </w:p>
    <w:p w:rsidR="00A4142A" w:rsidRPr="00CA4B5A" w:rsidRDefault="00A4142A" w:rsidP="005C0AED">
      <w:pPr>
        <w:ind w:left="567" w:righ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Durante la visita si procederà alla </w:t>
      </w:r>
      <w:r w:rsidR="001571AB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raccolta</w:t>
      </w:r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dei dati anamnestici personali (età, storia </w:t>
      </w:r>
      <w:r w:rsidR="001571AB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familiare</w:t>
      </w:r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</w:t>
      </w:r>
      <w:r w:rsidR="001571AB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abitudine</w:t>
      </w:r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tabagica, assunzione di alcol, </w:t>
      </w:r>
      <w:r w:rsidRPr="00CA4B5A">
        <w:rPr>
          <w:rFonts w:asciiTheme="minorHAnsi" w:hAnsiTheme="minorHAnsi" w:cstheme="minorHAnsi"/>
          <w:color w:val="000000" w:themeColor="text1"/>
          <w:spacing w:val="2"/>
          <w:sz w:val="28"/>
          <w:szCs w:val="28"/>
          <w:shd w:val="clear" w:color="auto" w:fill="FFFFFF"/>
        </w:rPr>
        <w:t>numero di partner sessual</w:t>
      </w:r>
      <w:r w:rsidR="0092751B" w:rsidRPr="00CA4B5A">
        <w:rPr>
          <w:rFonts w:asciiTheme="minorHAnsi" w:hAnsiTheme="minorHAnsi" w:cstheme="minorHAnsi"/>
          <w:color w:val="000000" w:themeColor="text1"/>
          <w:spacing w:val="2"/>
          <w:sz w:val="28"/>
          <w:szCs w:val="28"/>
          <w:shd w:val="clear" w:color="auto" w:fill="FFFFFF"/>
        </w:rPr>
        <w:t>i</w:t>
      </w:r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regolarità dell’alvo, </w:t>
      </w:r>
      <w:r w:rsidR="001571AB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dieta</w:t>
      </w:r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ricca di </w:t>
      </w:r>
      <w:r w:rsidR="001571AB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grassi</w:t>
      </w:r>
      <w:r w:rsidR="00F02C05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saturi), patologici (</w:t>
      </w:r>
      <w:r w:rsidR="001571AB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anamnesi</w:t>
      </w:r>
      <w:r w:rsidR="00F02C05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personale </w:t>
      </w:r>
      <w:r w:rsidR="001571AB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positiva</w:t>
      </w:r>
      <w:r w:rsidR="00F02C05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1571AB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per</w:t>
      </w:r>
      <w:r w:rsidR="00F02C05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MTS, </w:t>
      </w:r>
      <w:r w:rsidR="001571AB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immunodepressione</w:t>
      </w:r>
      <w:r w:rsidR="00F02C05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1571AB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indotta</w:t>
      </w:r>
      <w:r w:rsidR="00F02C05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1571AB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farmacologicamente</w:t>
      </w:r>
      <w:r w:rsidR="00F02C05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dopo </w:t>
      </w:r>
      <w:r w:rsidR="001571AB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trapianto</w:t>
      </w:r>
      <w:r w:rsidR="00F02C05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di </w:t>
      </w:r>
      <w:r w:rsidR="001571AB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organo</w:t>
      </w:r>
      <w:r w:rsidR="00F02C05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anamnesi </w:t>
      </w:r>
      <w:r w:rsidR="001571AB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personale</w:t>
      </w:r>
      <w:r w:rsidR="00F02C05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1571AB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positiva</w:t>
      </w:r>
      <w:r w:rsidR="00F02C05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per </w:t>
      </w:r>
      <w:r w:rsidR="001571AB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malattie</w:t>
      </w:r>
      <w:r w:rsidR="00F02C05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infiammatorie croniche intestinali, </w:t>
      </w:r>
      <w:r w:rsidR="001571AB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pregressi</w:t>
      </w:r>
      <w:r w:rsidR="002A2F60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1571AB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interventi</w:t>
      </w:r>
      <w:r w:rsidR="002A2F60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1571AB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chirurgici</w:t>
      </w:r>
      <w:r w:rsidR="002A2F60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), farmacologici (</w:t>
      </w:r>
      <w:r w:rsidR="001571AB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farmaci</w:t>
      </w:r>
      <w:r w:rsidR="002A2F60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assunti </w:t>
      </w:r>
      <w:r w:rsidR="001571AB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attualmente</w:t>
      </w:r>
      <w:r w:rsidR="002A2F60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dal paziente e da quanto </w:t>
      </w:r>
      <w:r w:rsidR="001571AB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tempo</w:t>
      </w:r>
      <w:r w:rsidR="002A2F60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eventuali </w:t>
      </w:r>
      <w:r w:rsidR="001571AB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terapie</w:t>
      </w:r>
      <w:r w:rsidR="002A2F60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1571AB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effettuate</w:t>
      </w:r>
      <w:r w:rsidR="002A2F60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1571AB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per</w:t>
      </w:r>
      <w:r w:rsidR="002A2F60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il </w:t>
      </w:r>
      <w:r w:rsidR="001571AB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trattamento</w:t>
      </w:r>
      <w:r w:rsidR="002A2F60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delle lesioni</w:t>
      </w:r>
      <w:r w:rsidR="001571AB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2A2F60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HPV-</w:t>
      </w:r>
      <w:r w:rsidR="001571AB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relate</w:t>
      </w:r>
      <w:r w:rsidR="002A2F60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).</w:t>
      </w:r>
    </w:p>
    <w:p w:rsidR="00AE2882" w:rsidRPr="00CA4B5A" w:rsidRDefault="002A2F60" w:rsidP="005C0AED">
      <w:pPr>
        <w:ind w:left="567" w:right="567"/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Tali </w:t>
      </w:r>
      <w:r w:rsidR="001571AB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informazioni</w:t>
      </w:r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1571AB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verranno</w:t>
      </w:r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1571AB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registrate</w:t>
      </w:r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in cartelle </w:t>
      </w:r>
      <w:r w:rsidR="001571AB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cartacee</w:t>
      </w:r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e </w:t>
      </w:r>
      <w:r w:rsidR="0092751B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verrà </w:t>
      </w:r>
      <w:r w:rsidR="001571AB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creato</w:t>
      </w:r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un </w:t>
      </w:r>
      <w:r w:rsidR="001571AB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relativo</w:t>
      </w:r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1571AB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archivio</w:t>
      </w:r>
      <w:r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anonimo. </w:t>
      </w:r>
      <w:r w:rsidR="00DD05D3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Verrà effettuato un attento esame clinico</w:t>
      </w:r>
      <w:r w:rsidR="0092751B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e </w:t>
      </w:r>
      <w:proofErr w:type="spellStart"/>
      <w:r w:rsidR="0092751B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dermoscopico</w:t>
      </w:r>
      <w:proofErr w:type="spellEnd"/>
      <w:r w:rsidR="00F17973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Successivamente, verrà raccolto materiale mediante </w:t>
      </w:r>
      <w:proofErr w:type="spellStart"/>
      <w:r w:rsidR="00F17973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>brushing</w:t>
      </w:r>
      <w:proofErr w:type="spellEnd"/>
      <w:r w:rsidR="00F17973" w:rsidRPr="00CA4B5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anale </w:t>
      </w:r>
      <w:r w:rsidR="00927CE7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per la valutazione citologica </w:t>
      </w:r>
      <w:r w:rsidR="00F17973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(</w:t>
      </w:r>
      <w:proofErr w:type="spellStart"/>
      <w:r w:rsidR="00F17973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PAP-test</w:t>
      </w:r>
      <w:proofErr w:type="spellEnd"/>
      <w:r w:rsidR="00F17973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) e </w:t>
      </w:r>
      <w:r w:rsidR="00927CE7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molecolare </w:t>
      </w:r>
      <w:r w:rsidR="00F17973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(</w:t>
      </w:r>
      <w:r w:rsidR="00927CE7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high </w:t>
      </w:r>
      <w:proofErr w:type="spellStart"/>
      <w:r w:rsidR="00927CE7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risk</w:t>
      </w:r>
      <w:proofErr w:type="spellEnd"/>
      <w:r w:rsidR="00927CE7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-HPV</w:t>
      </w:r>
      <w:r w:rsidR="00F17973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</w:t>
      </w:r>
      <w:r w:rsidR="00927CE7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DNA test</w:t>
      </w:r>
      <w:r w:rsidR="00F17973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). In caso di negativi</w:t>
      </w:r>
      <w:r w:rsidR="00D464E9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t</w:t>
      </w:r>
      <w:r w:rsidR="00F17973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à ad entrambi i test, verrà </w:t>
      </w:r>
      <w:r w:rsidR="00F17973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lastRenderedPageBreak/>
        <w:t xml:space="preserve">concordato un controllo evolutivo a sei mesi. In caso di </w:t>
      </w:r>
      <w:r w:rsidR="00D75064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presenza di alterazioni citologiche al </w:t>
      </w:r>
      <w:proofErr w:type="spellStart"/>
      <w:r w:rsidR="00D75064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PAP-test</w:t>
      </w:r>
      <w:proofErr w:type="spellEnd"/>
      <w:r w:rsidR="00D75064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o </w:t>
      </w:r>
      <w:r w:rsidR="00730499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di</w:t>
      </w:r>
      <w:r w:rsidR="00D75064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identificazione di genotipi oncogeni 16-18 al test molecolare, </w:t>
      </w:r>
      <w:r w:rsidR="002744E6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la </w:t>
      </w:r>
      <w:proofErr w:type="spellStart"/>
      <w:r w:rsidR="002744E6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paziente </w:t>
      </w:r>
      <w:r w:rsidR="00AE2882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vien</w:t>
      </w:r>
      <w:proofErr w:type="spellEnd"/>
      <w:r w:rsidR="00AE2882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e invitat</w:t>
      </w:r>
      <w:r w:rsidR="002744E6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a</w:t>
      </w:r>
      <w:bookmarkStart w:id="0" w:name="_GoBack"/>
      <w:bookmarkEnd w:id="0"/>
      <w:r w:rsidR="00AE2882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ad eseguire una rettoscopia con strumenti ad alta risoluzione, con magnificazione confocale e studio mediante </w:t>
      </w:r>
      <w:proofErr w:type="spellStart"/>
      <w:r w:rsidR="00AE2882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cromoendoscopia</w:t>
      </w:r>
      <w:proofErr w:type="spellEnd"/>
      <w:r w:rsidR="00AE2882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virtuale (</w:t>
      </w:r>
      <w:proofErr w:type="spellStart"/>
      <w:r w:rsidR="00AE2882" w:rsidRPr="00CA4B5A"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  <w:t>narrow</w:t>
      </w:r>
      <w:proofErr w:type="spellEnd"/>
      <w:r w:rsidR="00AE2882" w:rsidRPr="00CA4B5A"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AE2882" w:rsidRPr="00CA4B5A"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  <w:t>banding</w:t>
      </w:r>
      <w:proofErr w:type="spellEnd"/>
      <w:r w:rsidR="00AE2882" w:rsidRPr="00CA4B5A"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AE2882" w:rsidRPr="00CA4B5A"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  <w:t>imaging</w:t>
      </w:r>
      <w:proofErr w:type="spellEnd"/>
      <w:r w:rsidR="00AE2882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, NBI).  In questo modo sarà possib</w:t>
      </w:r>
      <w:r w:rsidR="00CA4B5A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il</w:t>
      </w:r>
      <w:r w:rsidR="00AE2882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e non solo proce</w:t>
      </w:r>
      <w:r w:rsidR="00CD3A5A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dere </w:t>
      </w:r>
      <w:proofErr w:type="gramStart"/>
      <w:r w:rsidR="00CD3A5A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al </w:t>
      </w:r>
      <w:r w:rsidR="00AE2882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campionamento</w:t>
      </w:r>
      <w:proofErr w:type="gramEnd"/>
      <w:r w:rsidR="00AE2882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bioptico ma anche </w:t>
      </w:r>
      <w:r w:rsidR="005451A7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al</w:t>
      </w:r>
      <w:r w:rsidR="00AE2882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trattamento. </w:t>
      </w:r>
    </w:p>
    <w:p w:rsidR="00B951B5" w:rsidRPr="00CA4B5A" w:rsidRDefault="00B951B5" w:rsidP="005C0AED">
      <w:pPr>
        <w:ind w:left="567" w:right="567"/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311205" w:rsidRPr="00CA4B5A" w:rsidRDefault="00311205" w:rsidP="005C0AED">
      <w:pPr>
        <w:ind w:left="567" w:right="567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A4B5A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Risultati attesi</w:t>
      </w:r>
    </w:p>
    <w:p w:rsidR="00311205" w:rsidRPr="00CA4B5A" w:rsidRDefault="00311205" w:rsidP="005C0AED">
      <w:pPr>
        <w:ind w:left="567" w:right="567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:rsidR="00DD05D3" w:rsidRPr="00CA4B5A" w:rsidRDefault="00DD05D3" w:rsidP="005C0AED">
      <w:pPr>
        <w:ind w:left="567" w:right="567"/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La raccolta delle informazioni </w:t>
      </w:r>
      <w:r w:rsidR="00053DBD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e la diagnosi clinico-</w:t>
      </w:r>
      <w:r w:rsidR="004235E9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istologica</w:t>
      </w:r>
      <w:r w:rsidR="00053DBD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</w:t>
      </w:r>
      <w:proofErr w:type="gramStart"/>
      <w:r w:rsidR="001571AB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permetterà</w:t>
      </w:r>
      <w:proofErr w:type="gramEnd"/>
      <w:r w:rsidR="00053DBD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di </w:t>
      </w:r>
      <w:r w:rsidR="001571AB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valutarne</w:t>
      </w:r>
      <w:r w:rsidR="004235E9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la </w:t>
      </w:r>
      <w:r w:rsidR="001571AB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correlazione</w:t>
      </w:r>
      <w:r w:rsidR="004235E9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con </w:t>
      </w:r>
      <w:r w:rsidR="00053DBD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i dati epidemiologic</w:t>
      </w:r>
      <w:r w:rsidR="004235E9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i e</w:t>
      </w:r>
      <w:r w:rsidR="00053DBD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</w:t>
      </w:r>
      <w:r w:rsidR="004235E9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i</w:t>
      </w:r>
      <w:r w:rsidR="00053DBD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</w:t>
      </w:r>
      <w:r w:rsidR="001571AB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fattori</w:t>
      </w:r>
      <w:r w:rsidR="00053DBD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di </w:t>
      </w:r>
      <w:r w:rsidR="001571AB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rischio</w:t>
      </w:r>
      <w:r w:rsidR="004235E9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noti,</w:t>
      </w:r>
      <w:r w:rsidR="00053DBD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e </w:t>
      </w:r>
      <w:r w:rsidR="004235E9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di </w:t>
      </w:r>
      <w:r w:rsidR="001571AB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identificare</w:t>
      </w:r>
      <w:r w:rsidR="004235E9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i </w:t>
      </w:r>
      <w:r w:rsidR="001571AB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fattori</w:t>
      </w:r>
      <w:r w:rsidR="004235E9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</w:t>
      </w:r>
      <w:r w:rsidR="001571AB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predittivi</w:t>
      </w:r>
      <w:r w:rsidR="00C0781D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di evoluzione delle lesioni </w:t>
      </w:r>
      <w:proofErr w:type="spellStart"/>
      <w:r w:rsidR="001571AB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pre</w:t>
      </w:r>
      <w:proofErr w:type="spellEnd"/>
      <w:r w:rsidR="001571AB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-cancerose</w:t>
      </w:r>
      <w:r w:rsidR="00C0781D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anali. </w:t>
      </w:r>
      <w:r w:rsidR="004235E9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Con i dati </w:t>
      </w:r>
      <w:r w:rsidR="001571AB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raccolti</w:t>
      </w:r>
      <w:r w:rsidR="004235E9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si procederà </w:t>
      </w:r>
      <w:r w:rsidR="001571AB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infine</w:t>
      </w:r>
      <w:r w:rsidR="004235E9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a </w:t>
      </w:r>
      <w:r w:rsidR="001571AB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ipotizzare</w:t>
      </w:r>
      <w:r w:rsidR="004235E9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</w:t>
      </w:r>
      <w:r w:rsidR="001571AB" w:rsidRPr="00CA4B5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una proposta di un modello predittivo di rischio evolutivo e di intervalli di sorveglianza stratificati per rischio evolutivo.</w:t>
      </w:r>
    </w:p>
    <w:sectPr w:rsidR="00DD05D3" w:rsidRPr="00CA4B5A" w:rsidSect="0053353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01A42"/>
    <w:multiLevelType w:val="multilevel"/>
    <w:tmpl w:val="ABA2EC40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8EC3333"/>
    <w:multiLevelType w:val="hybridMultilevel"/>
    <w:tmpl w:val="EC1468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96"/>
    <w:rsid w:val="00053DBD"/>
    <w:rsid w:val="001571AB"/>
    <w:rsid w:val="001C1396"/>
    <w:rsid w:val="002744E6"/>
    <w:rsid w:val="002A2F60"/>
    <w:rsid w:val="002F5B0B"/>
    <w:rsid w:val="00303201"/>
    <w:rsid w:val="00311205"/>
    <w:rsid w:val="0032450F"/>
    <w:rsid w:val="003370A7"/>
    <w:rsid w:val="00417020"/>
    <w:rsid w:val="004235E9"/>
    <w:rsid w:val="00433492"/>
    <w:rsid w:val="0053353C"/>
    <w:rsid w:val="005451A7"/>
    <w:rsid w:val="005C0AED"/>
    <w:rsid w:val="005D1E3F"/>
    <w:rsid w:val="006274A2"/>
    <w:rsid w:val="006E3180"/>
    <w:rsid w:val="007146A6"/>
    <w:rsid w:val="0072316F"/>
    <w:rsid w:val="00730499"/>
    <w:rsid w:val="007F0FA5"/>
    <w:rsid w:val="0084034D"/>
    <w:rsid w:val="00890BA3"/>
    <w:rsid w:val="00891849"/>
    <w:rsid w:val="008D5A79"/>
    <w:rsid w:val="0092751B"/>
    <w:rsid w:val="00927CE7"/>
    <w:rsid w:val="009622D6"/>
    <w:rsid w:val="009C1C8A"/>
    <w:rsid w:val="00A4142A"/>
    <w:rsid w:val="00A57C84"/>
    <w:rsid w:val="00A879F7"/>
    <w:rsid w:val="00AD15E5"/>
    <w:rsid w:val="00AE2882"/>
    <w:rsid w:val="00B951B5"/>
    <w:rsid w:val="00C0781D"/>
    <w:rsid w:val="00C56B7C"/>
    <w:rsid w:val="00CA4B5A"/>
    <w:rsid w:val="00CB4FCC"/>
    <w:rsid w:val="00CD3A5A"/>
    <w:rsid w:val="00D464E9"/>
    <w:rsid w:val="00D5188C"/>
    <w:rsid w:val="00D75064"/>
    <w:rsid w:val="00DA2656"/>
    <w:rsid w:val="00DD05D3"/>
    <w:rsid w:val="00DF6AE9"/>
    <w:rsid w:val="00E04980"/>
    <w:rsid w:val="00E36A93"/>
    <w:rsid w:val="00F02C05"/>
    <w:rsid w:val="00F17973"/>
    <w:rsid w:val="00F7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B8DFF4"/>
  <w15:chartTrackingRefBased/>
  <w15:docId w15:val="{8435A205-D98F-E544-9FB3-6BA9B633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4D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igliamedia1-Colore21">
    <w:name w:val="Griglia media 1 - Colore 21"/>
    <w:basedOn w:val="Normale"/>
    <w:uiPriority w:val="34"/>
    <w:qFormat/>
    <w:rsid w:val="001C1396"/>
    <w:pPr>
      <w:suppressAutoHyphens/>
      <w:ind w:left="720"/>
    </w:pPr>
    <w:rPr>
      <w:rFonts w:ascii="Calibri" w:hAnsi="Calibri"/>
      <w:sz w:val="22"/>
      <w:szCs w:val="22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04980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04980"/>
    <w:rPr>
      <w:rFonts w:ascii="Consolas" w:eastAsia="Times New Roman" w:hAnsi="Consolas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04980"/>
    <w:pPr>
      <w:ind w:left="720"/>
      <w:contextualSpacing/>
    </w:pPr>
  </w:style>
  <w:style w:type="character" w:customStyle="1" w:styleId="nlmstring-name">
    <w:name w:val="nlm_string-name"/>
    <w:basedOn w:val="Carpredefinitoparagrafo"/>
    <w:rsid w:val="0032450F"/>
  </w:style>
  <w:style w:type="character" w:customStyle="1" w:styleId="nlmgiven-names">
    <w:name w:val="nlm_given-names"/>
    <w:basedOn w:val="Carpredefinitoparagrafo"/>
    <w:rsid w:val="0032450F"/>
  </w:style>
  <w:style w:type="character" w:customStyle="1" w:styleId="nlmarticle-title">
    <w:name w:val="nlm_article-title"/>
    <w:basedOn w:val="Carpredefinitoparagrafo"/>
    <w:rsid w:val="0032450F"/>
  </w:style>
  <w:style w:type="character" w:customStyle="1" w:styleId="nlmyear">
    <w:name w:val="nlm_year"/>
    <w:basedOn w:val="Carpredefinitoparagrafo"/>
    <w:rsid w:val="0032450F"/>
  </w:style>
  <w:style w:type="character" w:customStyle="1" w:styleId="nlmfpage">
    <w:name w:val="nlm_fpage"/>
    <w:basedOn w:val="Carpredefinitoparagrafo"/>
    <w:rsid w:val="0032450F"/>
  </w:style>
  <w:style w:type="character" w:customStyle="1" w:styleId="nlmlpage">
    <w:name w:val="nlm_lpage"/>
    <w:basedOn w:val="Carpredefinitoparagrafo"/>
    <w:rsid w:val="00324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6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2021-05-16T16:35:00Z</dcterms:created>
  <dcterms:modified xsi:type="dcterms:W3CDTF">2021-05-21T07:55:00Z</dcterms:modified>
</cp:coreProperties>
</file>